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B8735C" w14:textId="77777777" w:rsidR="00874649" w:rsidRPr="002E1EBD"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bookmarkStart w:id="0" w:name="Draft_for_Word_415-3"/>
      <w:r>
        <w:t>Title Page</w:t>
      </w:r>
    </w:p>
    <w:p w14:paraId="792E31FD" w14:textId="77777777" w:rsidR="00874649" w:rsidRPr="009539A7"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r>
        <w:t xml:space="preserve">Title: </w:t>
      </w:r>
      <w:r w:rsidRPr="00716DDD">
        <w:t xml:space="preserve">Sequence variation in the ribosomal RNA gene within isolates of </w:t>
      </w:r>
      <w:proofErr w:type="spellStart"/>
      <w:r w:rsidRPr="00716DDD">
        <w:t>arbuscular</w:t>
      </w:r>
      <w:proofErr w:type="spellEnd"/>
      <w:r w:rsidRPr="00716DDD">
        <w:t xml:space="preserve"> </w:t>
      </w:r>
      <w:proofErr w:type="spellStart"/>
      <w:r w:rsidRPr="00716DDD">
        <w:t>mycorrhizal</w:t>
      </w:r>
      <w:proofErr w:type="spellEnd"/>
      <w:r w:rsidRPr="00716DDD">
        <w:t xml:space="preserve"> fungi: Tests of phylogeny and clustering methods</w:t>
      </w:r>
      <w:r w:rsidRPr="009539A7">
        <w:t xml:space="preserve"> </w:t>
      </w:r>
    </w:p>
    <w:p w14:paraId="7C409F22"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p>
    <w:p w14:paraId="5625E598" w14:textId="77777777" w:rsidR="00874649" w:rsidRPr="001C5DE6"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rPr>
          <w:vertAlign w:val="superscript"/>
        </w:rPr>
      </w:pPr>
      <w:r>
        <w:t xml:space="preserve">Authors: Geoffrey L. </w:t>
      </w:r>
      <w:proofErr w:type="spellStart"/>
      <w:r>
        <w:t>House</w:t>
      </w:r>
      <w:r>
        <w:rPr>
          <w:vertAlign w:val="superscript"/>
        </w:rPr>
        <w:t>a</w:t>
      </w:r>
      <w:proofErr w:type="spellEnd"/>
      <w:r>
        <w:t xml:space="preserve">, </w:t>
      </w:r>
      <w:proofErr w:type="spellStart"/>
      <w:r>
        <w:t>Saliya</w:t>
      </w:r>
      <w:proofErr w:type="spellEnd"/>
      <w:r>
        <w:t xml:space="preserve"> </w:t>
      </w:r>
      <w:proofErr w:type="spellStart"/>
      <w:r>
        <w:t>Ekanayake</w:t>
      </w:r>
      <w:r>
        <w:rPr>
          <w:vertAlign w:val="superscript"/>
        </w:rPr>
        <w:t>b</w:t>
      </w:r>
      <w:proofErr w:type="spellEnd"/>
      <w:r>
        <w:t xml:space="preserve">, Yang </w:t>
      </w:r>
      <w:proofErr w:type="spellStart"/>
      <w:r>
        <w:t>Ruan</w:t>
      </w:r>
      <w:r>
        <w:rPr>
          <w:vertAlign w:val="superscript"/>
        </w:rPr>
        <w:t>b</w:t>
      </w:r>
      <w:proofErr w:type="gramStart"/>
      <w:r>
        <w:rPr>
          <w:vertAlign w:val="superscript"/>
        </w:rPr>
        <w:t>,c</w:t>
      </w:r>
      <w:proofErr w:type="spellEnd"/>
      <w:proofErr w:type="gramEnd"/>
      <w:r>
        <w:t xml:space="preserve">, </w:t>
      </w:r>
      <w:proofErr w:type="spellStart"/>
      <w:r>
        <w:t>Ursel</w:t>
      </w:r>
      <w:proofErr w:type="spellEnd"/>
      <w:r>
        <w:t xml:space="preserve"> </w:t>
      </w:r>
      <w:proofErr w:type="spellStart"/>
      <w:r>
        <w:t>Sch</w:t>
      </w:r>
      <w:r w:rsidRPr="00FA46E8">
        <w:t>ü</w:t>
      </w:r>
      <w:r>
        <w:t>tte</w:t>
      </w:r>
      <w:r>
        <w:rPr>
          <w:vertAlign w:val="superscript"/>
        </w:rPr>
        <w:t>a,d,e</w:t>
      </w:r>
      <w:proofErr w:type="spellEnd"/>
      <w:r>
        <w:t xml:space="preserve">, </w:t>
      </w:r>
      <w:proofErr w:type="spellStart"/>
      <w:r>
        <w:t>Wittaya</w:t>
      </w:r>
      <w:proofErr w:type="spellEnd"/>
      <w:r>
        <w:t xml:space="preserve"> </w:t>
      </w:r>
      <w:proofErr w:type="spellStart"/>
      <w:r>
        <w:t>Kaonongbua</w:t>
      </w:r>
      <w:r>
        <w:rPr>
          <w:vertAlign w:val="superscript"/>
        </w:rPr>
        <w:t>a,f</w:t>
      </w:r>
      <w:proofErr w:type="spellEnd"/>
      <w:r>
        <w:t xml:space="preserve">, Geoffrey </w:t>
      </w:r>
      <w:proofErr w:type="spellStart"/>
      <w:r>
        <w:t>Fox</w:t>
      </w:r>
      <w:r>
        <w:rPr>
          <w:vertAlign w:val="superscript"/>
        </w:rPr>
        <w:t>b</w:t>
      </w:r>
      <w:proofErr w:type="spellEnd"/>
      <w:r>
        <w:t xml:space="preserve">, </w:t>
      </w:r>
      <w:proofErr w:type="spellStart"/>
      <w:r>
        <w:t>Yuzhen</w:t>
      </w:r>
      <w:proofErr w:type="spellEnd"/>
      <w:r>
        <w:t xml:space="preserve"> </w:t>
      </w:r>
      <w:proofErr w:type="spellStart"/>
      <w:r>
        <w:t>Ye</w:t>
      </w:r>
      <w:r>
        <w:rPr>
          <w:vertAlign w:val="superscript"/>
        </w:rPr>
        <w:t>b</w:t>
      </w:r>
      <w:proofErr w:type="spellEnd"/>
      <w:r>
        <w:t xml:space="preserve">, James D. </w:t>
      </w:r>
      <w:proofErr w:type="spellStart"/>
      <w:r>
        <w:t>Bever</w:t>
      </w:r>
      <w:r>
        <w:rPr>
          <w:vertAlign w:val="superscript"/>
        </w:rPr>
        <w:t>a,g</w:t>
      </w:r>
      <w:proofErr w:type="spellEnd"/>
    </w:p>
    <w:p w14:paraId="06E5D702"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p>
    <w:p w14:paraId="3A761296"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r>
        <w:t xml:space="preserve">Keywords: Genetic polymorphism, </w:t>
      </w:r>
      <w:proofErr w:type="spellStart"/>
      <w:r>
        <w:t>Arbuscular</w:t>
      </w:r>
      <w:proofErr w:type="spellEnd"/>
      <w:r>
        <w:t xml:space="preserve"> </w:t>
      </w:r>
      <w:proofErr w:type="spellStart"/>
      <w:r>
        <w:t>mycorrhizal</w:t>
      </w:r>
      <w:proofErr w:type="spellEnd"/>
      <w:r>
        <w:t xml:space="preserve"> (AM) fungi, incomplete lineage sorting, sequence clustering, multidimensional scaling</w:t>
      </w:r>
    </w:p>
    <w:p w14:paraId="5EB3DA6F"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p>
    <w:p w14:paraId="34CFBB47"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r>
        <w:t xml:space="preserve">Affiliations: </w:t>
      </w:r>
      <w:r>
        <w:rPr>
          <w:vertAlign w:val="superscript"/>
        </w:rPr>
        <w:t>a</w:t>
      </w:r>
      <w:r>
        <w:t xml:space="preserve"> Department of Biology, Indiana University, </w:t>
      </w:r>
      <w:proofErr w:type="gramStart"/>
      <w:r>
        <w:t>Bloomington</w:t>
      </w:r>
      <w:proofErr w:type="gramEnd"/>
      <w:r>
        <w:t>, IN</w:t>
      </w:r>
    </w:p>
    <w:p w14:paraId="20505C4D"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proofErr w:type="gramStart"/>
      <w:r>
        <w:rPr>
          <w:vertAlign w:val="superscript"/>
        </w:rPr>
        <w:t>b</w:t>
      </w:r>
      <w:proofErr w:type="gramEnd"/>
      <w:r>
        <w:t xml:space="preserve"> School of Informatics and Computing, Indiana University, Bloomington, IN</w:t>
      </w:r>
    </w:p>
    <w:p w14:paraId="45F1B0B7"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proofErr w:type="gramStart"/>
      <w:r>
        <w:rPr>
          <w:vertAlign w:val="superscript"/>
        </w:rPr>
        <w:t>c</w:t>
      </w:r>
      <w:proofErr w:type="gramEnd"/>
      <w:r>
        <w:t xml:space="preserve"> Yelp, Inc. San Francisco, CA</w:t>
      </w:r>
    </w:p>
    <w:p w14:paraId="641545E7"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proofErr w:type="gramStart"/>
      <w:r>
        <w:rPr>
          <w:vertAlign w:val="superscript"/>
        </w:rPr>
        <w:t>d</w:t>
      </w:r>
      <w:proofErr w:type="gramEnd"/>
      <w:r>
        <w:t xml:space="preserve"> School of Public and Environmental Affairs, Indiana University, Bloomington, IN</w:t>
      </w:r>
    </w:p>
    <w:p w14:paraId="1F279E90"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proofErr w:type="gramStart"/>
      <w:r>
        <w:rPr>
          <w:vertAlign w:val="superscript"/>
        </w:rPr>
        <w:t>e</w:t>
      </w:r>
      <w:proofErr w:type="gramEnd"/>
      <w:r>
        <w:t xml:space="preserve"> Department of Biology, University of Alaska, Fairbanks, AK</w:t>
      </w:r>
    </w:p>
    <w:p w14:paraId="4DFAC684" w14:textId="77777777" w:rsidR="00874649" w:rsidRPr="00066172"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proofErr w:type="gramStart"/>
      <w:r>
        <w:rPr>
          <w:vertAlign w:val="superscript"/>
        </w:rPr>
        <w:t>f</w:t>
      </w:r>
      <w:proofErr w:type="gramEnd"/>
      <w:r>
        <w:rPr>
          <w:vertAlign w:val="superscript"/>
        </w:rPr>
        <w:t xml:space="preserve"> </w:t>
      </w:r>
      <w:r>
        <w:rPr>
          <w:rFonts w:eastAsia="Times New Roman" w:cs="Times New Roman"/>
        </w:rPr>
        <w:t xml:space="preserve">Department Of Microbiology, Faculty Of Science, King </w:t>
      </w:r>
      <w:proofErr w:type="spellStart"/>
      <w:r>
        <w:rPr>
          <w:rFonts w:eastAsia="Times New Roman" w:cs="Times New Roman"/>
        </w:rPr>
        <w:t>Mongkut</w:t>
      </w:r>
      <w:r>
        <w:rPr>
          <w:rFonts w:eastAsia="Times New Roman" w:cs="Times New Roman" w:hint="eastAsia"/>
        </w:rPr>
        <w:t>’</w:t>
      </w:r>
      <w:r>
        <w:rPr>
          <w:rFonts w:eastAsia="Times New Roman" w:cs="Times New Roman"/>
        </w:rPr>
        <w:t>s</w:t>
      </w:r>
      <w:proofErr w:type="spellEnd"/>
      <w:r>
        <w:rPr>
          <w:rFonts w:eastAsia="Times New Roman" w:cs="Times New Roman"/>
        </w:rPr>
        <w:t xml:space="preserve"> University of Technology </w:t>
      </w:r>
      <w:proofErr w:type="spellStart"/>
      <w:r>
        <w:rPr>
          <w:rFonts w:eastAsia="Times New Roman" w:cs="Times New Roman"/>
        </w:rPr>
        <w:t>Thonburi</w:t>
      </w:r>
      <w:proofErr w:type="spellEnd"/>
      <w:r>
        <w:rPr>
          <w:rFonts w:eastAsia="Times New Roman" w:cs="Times New Roman"/>
        </w:rPr>
        <w:t>, Thailand</w:t>
      </w:r>
    </w:p>
    <w:p w14:paraId="289E8561" w14:textId="77777777" w:rsidR="00874649" w:rsidRPr="00066172"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left="360"/>
      </w:pPr>
      <w:proofErr w:type="gramStart"/>
      <w:r>
        <w:rPr>
          <w:vertAlign w:val="superscript"/>
        </w:rPr>
        <w:t>g</w:t>
      </w:r>
      <w:proofErr w:type="gramEnd"/>
      <w:r>
        <w:t xml:space="preserve"> Department of Biology, University of Kansas, Lawrence, KS</w:t>
      </w:r>
    </w:p>
    <w:p w14:paraId="646FA264" w14:textId="77777777" w:rsidR="00874649" w:rsidRDefault="00874649" w:rsidP="00874649">
      <w:pPr>
        <w:rPr>
          <w:b/>
        </w:rPr>
      </w:pPr>
    </w:p>
    <w:p w14:paraId="29B5D376" w14:textId="77777777" w:rsidR="00874649" w:rsidRDefault="00874649" w:rsidP="00874649">
      <w:pPr>
        <w:rPr>
          <w:b/>
        </w:rPr>
      </w:pPr>
    </w:p>
    <w:p w14:paraId="3F7E1661" w14:textId="77777777" w:rsidR="00874649" w:rsidRDefault="00874649" w:rsidP="00874649">
      <w:pPr>
        <w:rPr>
          <w:b/>
        </w:rPr>
      </w:pPr>
    </w:p>
    <w:p w14:paraId="632D7023" w14:textId="77777777" w:rsidR="00874649" w:rsidRDefault="00874649" w:rsidP="00874649">
      <w:pPr>
        <w:rPr>
          <w:b/>
        </w:rPr>
      </w:pPr>
    </w:p>
    <w:p w14:paraId="6133D3F1" w14:textId="77777777" w:rsidR="00874649" w:rsidRDefault="00874649" w:rsidP="00874649">
      <w:pPr>
        <w:rPr>
          <w:b/>
        </w:rPr>
      </w:pPr>
    </w:p>
    <w:p w14:paraId="1C56AD9A" w14:textId="77777777" w:rsidR="00874649" w:rsidRDefault="00874649" w:rsidP="00874649">
      <w:pPr>
        <w:rPr>
          <w:b/>
        </w:rPr>
      </w:pPr>
    </w:p>
    <w:p w14:paraId="444EB9BF" w14:textId="77777777" w:rsidR="00874649" w:rsidRDefault="00874649" w:rsidP="00874649">
      <w:pPr>
        <w:rPr>
          <w:b/>
        </w:rPr>
      </w:pPr>
    </w:p>
    <w:p w14:paraId="1B38B532" w14:textId="77777777" w:rsidR="00874649" w:rsidRDefault="00874649" w:rsidP="00874649">
      <w:pPr>
        <w:rPr>
          <w:b/>
        </w:rPr>
      </w:pPr>
    </w:p>
    <w:p w14:paraId="698C0CB6" w14:textId="77777777" w:rsidR="00874649" w:rsidRDefault="00874649" w:rsidP="00874649">
      <w:pPr>
        <w:rPr>
          <w:b/>
        </w:rPr>
      </w:pPr>
    </w:p>
    <w:p w14:paraId="3CD0A23F" w14:textId="77777777" w:rsidR="00874649" w:rsidRDefault="00874649" w:rsidP="00874649">
      <w:pPr>
        <w:rPr>
          <w:b/>
          <w:i/>
        </w:rPr>
      </w:pPr>
      <w:r>
        <w:rPr>
          <w:b/>
          <w:i/>
        </w:rPr>
        <w:br w:type="page"/>
      </w:r>
    </w:p>
    <w:bookmarkEnd w:id="0"/>
    <w:p w14:paraId="2AED1598" w14:textId="77777777" w:rsidR="00874649" w:rsidRP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rPr>
          <w:b/>
        </w:rPr>
      </w:pPr>
      <w:r w:rsidRPr="00874649">
        <w:rPr>
          <w:b/>
        </w:rPr>
        <w:lastRenderedPageBreak/>
        <w:t>Abstract</w:t>
      </w:r>
    </w:p>
    <w:p w14:paraId="64621F5D"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proofErr w:type="spellStart"/>
      <w:r>
        <w:t>Arbuscular</w:t>
      </w:r>
      <w:proofErr w:type="spellEnd"/>
      <w:r>
        <w:t xml:space="preserve"> </w:t>
      </w:r>
      <w:proofErr w:type="spellStart"/>
      <w:r>
        <w:t>mycorrhizal</w:t>
      </w:r>
      <w:proofErr w:type="spellEnd"/>
      <w:r>
        <w:t xml:space="preserve"> (AM) fungi form mutualisms with plant roots that increase plant growth and shape plant communities. A single AM fungal cell contains a large amount of genetic diversity but it is unclear how this diversity may vary across AM fungal lineages. To address this, we sequenced the nuclear ribosomal large subunit (LSU; 28S) gene from 21 species of phylogenetically diverse AM fungi. We then applied a novel multidimensional scaling (MDS) method and found that groups of similar sequences corresponded well with genus-level clades on the </w:t>
      </w:r>
      <w:proofErr w:type="spellStart"/>
      <w:r>
        <w:t>rRNA</w:t>
      </w:r>
      <w:proofErr w:type="spellEnd"/>
      <w:r>
        <w:t xml:space="preserve"> gene tree. Sequences from each species also generally formed monophyletic groups, with the exception of incomplete lineage sorting of sequence variants in the genera </w:t>
      </w:r>
      <w:r>
        <w:rPr>
          <w:i/>
        </w:rPr>
        <w:t xml:space="preserve">Claroideoglomus </w:t>
      </w:r>
      <w:r>
        <w:t xml:space="preserve">and </w:t>
      </w:r>
      <w:r>
        <w:rPr>
          <w:i/>
        </w:rPr>
        <w:t>Entrophospora</w:t>
      </w:r>
      <w:r>
        <w:t xml:space="preserve">. </w:t>
      </w:r>
      <w:r w:rsidRPr="00E17C13">
        <w:t>T</w:t>
      </w:r>
      <w:r w:rsidRPr="00DA7C06">
        <w:t xml:space="preserve">he level of sequence </w:t>
      </w:r>
      <w:r>
        <w:t>variation differed</w:t>
      </w:r>
      <w:r w:rsidRPr="00DA7C06">
        <w:t xml:space="preserve"> significantly </w:t>
      </w:r>
      <w:r>
        <w:t>between</w:t>
      </w:r>
      <w:r w:rsidRPr="00E17C13">
        <w:t xml:space="preserve"> genera and also across the phylogeny</w:t>
      </w:r>
      <w:r w:rsidRPr="00DA7C06">
        <w:t>.</w:t>
      </w:r>
      <w:r>
        <w:t xml:space="preserve"> We used these patterns of sequence variation coupled with the MDS visualization to assess the accuracy of four different sequence clustering methods in delineating operational taxonomic units (OTUs) for species from different genera. The clustering methods </w:t>
      </w:r>
      <w:proofErr w:type="spellStart"/>
      <w:r>
        <w:t>AbundantOTU</w:t>
      </w:r>
      <w:proofErr w:type="spellEnd"/>
      <w:r>
        <w:t xml:space="preserve"> and CROP were consistently more accurate than </w:t>
      </w:r>
      <w:proofErr w:type="spellStart"/>
      <w:r>
        <w:t>mothur</w:t>
      </w:r>
      <w:proofErr w:type="spellEnd"/>
      <w:r>
        <w:t xml:space="preserve"> or UPARSE, although no clustering method gave OTUs that reliably approximated species-level groups. This lack of OTU-to-species correspondence resulted both from sequences of one species being split into multiple OTUs, and from sequences of multiple species being lumped into the same OTU. Using OTUs to identify putative AM fungal species from environmental samples will therefore result in biased richness estimates, and the direction of this bias will depend on the genera that are present in the sample. </w:t>
      </w:r>
    </w:p>
    <w:p w14:paraId="235A2700" w14:textId="77777777" w:rsidR="00874649" w:rsidRP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rPr>
          <w:b/>
        </w:rPr>
      </w:pPr>
      <w:r w:rsidRPr="00874649">
        <w:rPr>
          <w:b/>
        </w:rPr>
        <w:t>Statement of Significance</w:t>
      </w:r>
    </w:p>
    <w:p w14:paraId="5496FA46"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proofErr w:type="spellStart"/>
      <w:r>
        <w:t>Arbuscular</w:t>
      </w:r>
      <w:proofErr w:type="spellEnd"/>
      <w:r>
        <w:t xml:space="preserve"> </w:t>
      </w:r>
      <w:proofErr w:type="spellStart"/>
      <w:r>
        <w:t>mycorrhizal</w:t>
      </w:r>
      <w:proofErr w:type="spellEnd"/>
      <w:r>
        <w:t xml:space="preserve"> (AM) fungi form important mutualisms with the roots of most plant species. Individual AM fungi are highly genetically diverse, but it is unclear whether the level of this diversity differs between evolutionary lineages. We find that sequence variation in AM fungi significantly varies between evolutionary lineages that correspond to genera, and that there is incomplete lineage sorting of this diversity among species in one genus. These consistent patterns of genetic diversity resulted in either an upward or downward bias in the correspondence between operational taxonomic units (OTUs) and species depending on the genus. Identifying putative </w:t>
      </w:r>
      <w:proofErr w:type="gramStart"/>
      <w:r>
        <w:t>AM</w:t>
      </w:r>
      <w:proofErr w:type="gramEnd"/>
      <w:r>
        <w:t xml:space="preserve"> fungal species from environmental samples using either OTUs or other sequence similarity-based methods should therefore take this taxonomically-structured genetic variability into account. </w:t>
      </w:r>
    </w:p>
    <w:p w14:paraId="3F0C3003" w14:textId="77777777" w:rsidR="00874649" w:rsidRP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rPr>
          <w:b/>
        </w:rPr>
      </w:pPr>
      <w:r w:rsidRPr="00874649">
        <w:rPr>
          <w:b/>
        </w:rPr>
        <w:t>Introduction</w:t>
      </w:r>
    </w:p>
    <w:p w14:paraId="519AC219" w14:textId="77777777" w:rsidR="00874649" w:rsidRDefault="00874649" w:rsidP="00874649">
      <w:pPr>
        <w:widowControl w:val="0"/>
        <w:tabs>
          <w:tab w:val="left" w:pos="720"/>
          <w:tab w:val="left" w:pos="1440"/>
          <w:tab w:val="left" w:pos="2160"/>
          <w:tab w:val="left" w:pos="2880"/>
          <w:tab w:val="left" w:pos="3600"/>
          <w:tab w:val="left" w:pos="4320"/>
        </w:tabs>
        <w:autoSpaceDE w:val="0"/>
        <w:autoSpaceDN w:val="0"/>
        <w:adjustRightInd w:val="0"/>
        <w:spacing w:line="480" w:lineRule="auto"/>
        <w:ind w:firstLine="360"/>
        <w:rPr>
          <w:rFonts w:ascii="Times New Roman" w:hAnsi="Times New Roman" w:cs="Times New Roman"/>
        </w:rPr>
      </w:pPr>
      <w:r>
        <w:rPr>
          <w:rFonts w:ascii="Times New Roman" w:hAnsi="Times New Roman" w:cs="Times New Roman"/>
        </w:rPr>
        <w:t xml:space="preserve">Sequences of the </w:t>
      </w:r>
      <w:proofErr w:type="gramStart"/>
      <w:r>
        <w:rPr>
          <w:rFonts w:ascii="Times New Roman" w:hAnsi="Times New Roman" w:cs="Times New Roman"/>
        </w:rPr>
        <w:t>phylogenetically-informative</w:t>
      </w:r>
      <w:proofErr w:type="gramEnd"/>
      <w:r>
        <w:rPr>
          <w:rFonts w:ascii="Times New Roman" w:hAnsi="Times New Roman" w:cs="Times New Roman"/>
        </w:rPr>
        <w:t xml:space="preserve"> nuclear</w:t>
      </w:r>
      <w:r w:rsidRPr="002E1EBD">
        <w:rPr>
          <w:rFonts w:ascii="Times New Roman" w:hAnsi="Times New Roman" w:cs="Times New Roman"/>
        </w:rPr>
        <w:t xml:space="preserve"> </w:t>
      </w:r>
      <w:r>
        <w:rPr>
          <w:rFonts w:ascii="Times New Roman" w:hAnsi="Times New Roman" w:cs="Times New Roman"/>
        </w:rPr>
        <w:t>ribosomal RNA (</w:t>
      </w:r>
      <w:proofErr w:type="spellStart"/>
      <w:r>
        <w:rPr>
          <w:rFonts w:ascii="Times New Roman" w:hAnsi="Times New Roman" w:cs="Times New Roman"/>
        </w:rPr>
        <w:t>rRNA</w:t>
      </w:r>
      <w:proofErr w:type="spellEnd"/>
      <w:r>
        <w:rPr>
          <w:rFonts w:ascii="Times New Roman" w:hAnsi="Times New Roman" w:cs="Times New Roman"/>
        </w:rPr>
        <w:t>) gene</w:t>
      </w:r>
      <w:r w:rsidRPr="002E1EBD">
        <w:rPr>
          <w:rFonts w:ascii="Times New Roman" w:hAnsi="Times New Roman" w:cs="Times New Roman"/>
        </w:rPr>
        <w:t xml:space="preserve"> </w:t>
      </w:r>
      <w:r>
        <w:rPr>
          <w:rFonts w:ascii="Times New Roman" w:hAnsi="Times New Roman" w:cs="Times New Roman"/>
        </w:rPr>
        <w:t>have</w:t>
      </w:r>
      <w:r w:rsidRPr="002E1EBD">
        <w:rPr>
          <w:rFonts w:ascii="Times New Roman" w:hAnsi="Times New Roman" w:cs="Times New Roman"/>
        </w:rPr>
        <w:t xml:space="preserve"> revolutionized our understanding of microbial </w:t>
      </w:r>
      <w:r>
        <w:rPr>
          <w:rFonts w:ascii="Times New Roman" w:hAnsi="Times New Roman" w:cs="Times New Roman"/>
        </w:rPr>
        <w:t xml:space="preserve">diversity. They have been instrumental both in the discovery of microbial groups, including the kingdom </w:t>
      </w:r>
      <w:proofErr w:type="spellStart"/>
      <w:r>
        <w:rPr>
          <w:rFonts w:ascii="Times New Roman" w:hAnsi="Times New Roman" w:cs="Times New Roman"/>
        </w:rPr>
        <w:t>archaea</w:t>
      </w:r>
      <w:proofErr w:type="spellEnd"/>
      <w:r>
        <w:rPr>
          <w:rFonts w:ascii="Times New Roman" w:hAnsi="Times New Roman" w:cs="Times New Roman"/>
        </w:rPr>
        <w:t xml:space="preserve"> </w:t>
      </w:r>
      <w:r>
        <w:rPr>
          <w:rFonts w:ascii="Times New Roman" w:hAnsi="Times New Roman" w:cs="Times New Roman"/>
          <w:noProof/>
        </w:rPr>
        <w:t>(1)</w:t>
      </w:r>
      <w:r>
        <w:rPr>
          <w:rFonts w:ascii="Times New Roman" w:hAnsi="Times New Roman" w:cs="Times New Roman"/>
        </w:rPr>
        <w:t xml:space="preserve">, and also in clarifying their evolutionary relationships. When used in combination with high-throughput sequencing, </w:t>
      </w:r>
      <w:proofErr w:type="spellStart"/>
      <w:r>
        <w:rPr>
          <w:rFonts w:ascii="Times New Roman" w:hAnsi="Times New Roman" w:cs="Times New Roman"/>
        </w:rPr>
        <w:t>rRNA</w:t>
      </w:r>
      <w:proofErr w:type="spellEnd"/>
      <w:r>
        <w:rPr>
          <w:rFonts w:ascii="Times New Roman" w:hAnsi="Times New Roman" w:cs="Times New Roman"/>
        </w:rPr>
        <w:t xml:space="preserve"> gene sequences have provided critical insights into microbial communities and their dynamics in a wide range of environments, including </w:t>
      </w:r>
      <w:r w:rsidRPr="00B22E95">
        <w:rPr>
          <w:rFonts w:ascii="Times New Roman" w:hAnsi="Times New Roman" w:cs="Times New Roman"/>
        </w:rPr>
        <w:t xml:space="preserve">marine </w:t>
      </w:r>
      <w:r>
        <w:rPr>
          <w:rFonts w:ascii="Times New Roman" w:hAnsi="Times New Roman" w:cs="Times New Roman"/>
        </w:rPr>
        <w:t xml:space="preserve">microbes </w:t>
      </w:r>
      <w:r>
        <w:rPr>
          <w:rFonts w:ascii="Times New Roman" w:hAnsi="Times New Roman" w:cs="Times New Roman"/>
          <w:noProof/>
        </w:rPr>
        <w:t>(2)</w:t>
      </w:r>
      <w:r>
        <w:rPr>
          <w:rFonts w:ascii="Times New Roman" w:hAnsi="Times New Roman" w:cs="Times New Roman"/>
        </w:rPr>
        <w:t xml:space="preserve"> and the </w:t>
      </w:r>
      <w:proofErr w:type="spellStart"/>
      <w:r>
        <w:rPr>
          <w:rFonts w:ascii="Times New Roman" w:hAnsi="Times New Roman" w:cs="Times New Roman"/>
        </w:rPr>
        <w:t>microbiomes</w:t>
      </w:r>
      <w:proofErr w:type="spellEnd"/>
      <w:r>
        <w:rPr>
          <w:rFonts w:ascii="Times New Roman" w:hAnsi="Times New Roman" w:cs="Times New Roman"/>
        </w:rPr>
        <w:t xml:space="preserve"> found within other organisms </w:t>
      </w:r>
      <w:r>
        <w:rPr>
          <w:rFonts w:ascii="Times New Roman" w:hAnsi="Times New Roman" w:cs="Times New Roman"/>
          <w:noProof/>
        </w:rPr>
        <w:t>(3)</w:t>
      </w:r>
      <w:r>
        <w:rPr>
          <w:rFonts w:ascii="Times New Roman" w:hAnsi="Times New Roman" w:cs="Times New Roman"/>
        </w:rPr>
        <w:t xml:space="preserve">. </w:t>
      </w:r>
      <w:proofErr w:type="spellStart"/>
      <w:proofErr w:type="gramStart"/>
      <w:r>
        <w:rPr>
          <w:rFonts w:ascii="Times New Roman" w:hAnsi="Times New Roman" w:cs="Times New Roman"/>
        </w:rPr>
        <w:t>rRNA</w:t>
      </w:r>
      <w:proofErr w:type="spellEnd"/>
      <w:proofErr w:type="gramEnd"/>
      <w:r>
        <w:rPr>
          <w:rFonts w:ascii="Times New Roman" w:hAnsi="Times New Roman" w:cs="Times New Roman"/>
        </w:rPr>
        <w:t xml:space="preserve"> gene sequences are a powerful, culture-independent way to better understand the genetic diversity of microbes; this is especially valuable in poorly described groups like </w:t>
      </w:r>
      <w:proofErr w:type="spellStart"/>
      <w:r>
        <w:rPr>
          <w:rFonts w:ascii="Times New Roman" w:hAnsi="Times New Roman" w:cs="Times New Roman"/>
        </w:rPr>
        <w:t>arbuscular</w:t>
      </w:r>
      <w:proofErr w:type="spellEnd"/>
      <w:r>
        <w:rPr>
          <w:rFonts w:ascii="Times New Roman" w:hAnsi="Times New Roman" w:cs="Times New Roman"/>
        </w:rPr>
        <w:t xml:space="preserve"> </w:t>
      </w:r>
      <w:proofErr w:type="spellStart"/>
      <w:r>
        <w:rPr>
          <w:rFonts w:ascii="Times New Roman" w:hAnsi="Times New Roman" w:cs="Times New Roman"/>
        </w:rPr>
        <w:t>mycorrhizal</w:t>
      </w:r>
      <w:proofErr w:type="spellEnd"/>
      <w:r>
        <w:rPr>
          <w:rFonts w:ascii="Times New Roman" w:hAnsi="Times New Roman" w:cs="Times New Roman"/>
        </w:rPr>
        <w:t xml:space="preserve"> (AM) fungi that form mutualisms with plant roots.</w:t>
      </w:r>
    </w:p>
    <w:p w14:paraId="39151F36" w14:textId="77777777" w:rsidR="00874649" w:rsidRDefault="00874649" w:rsidP="00874649">
      <w:pPr>
        <w:widowControl w:val="0"/>
        <w:tabs>
          <w:tab w:val="left" w:pos="720"/>
          <w:tab w:val="left" w:pos="1440"/>
          <w:tab w:val="left" w:pos="2160"/>
          <w:tab w:val="left" w:pos="2880"/>
          <w:tab w:val="left" w:pos="3600"/>
          <w:tab w:val="left" w:pos="4320"/>
        </w:tabs>
        <w:autoSpaceDE w:val="0"/>
        <w:autoSpaceDN w:val="0"/>
        <w:adjustRightInd w:val="0"/>
        <w:spacing w:line="480" w:lineRule="auto"/>
        <w:ind w:firstLine="360"/>
        <w:rPr>
          <w:rFonts w:ascii="Times New Roman" w:hAnsi="Times New Roman" w:cs="Times New Roman"/>
        </w:rPr>
      </w:pPr>
      <w:r>
        <w:rPr>
          <w:rFonts w:ascii="Times New Roman" w:hAnsi="Times New Roman" w:cs="Times New Roman"/>
        </w:rPr>
        <w:t>AM</w:t>
      </w:r>
      <w:r w:rsidRPr="002E1EBD">
        <w:rPr>
          <w:rFonts w:ascii="Times New Roman" w:hAnsi="Times New Roman" w:cs="Times New Roman"/>
        </w:rPr>
        <w:t xml:space="preserve"> fungi </w:t>
      </w:r>
      <w:r>
        <w:rPr>
          <w:rFonts w:ascii="Times New Roman" w:hAnsi="Times New Roman" w:cs="Times New Roman"/>
        </w:rPr>
        <w:t xml:space="preserve">(phylum </w:t>
      </w:r>
      <w:proofErr w:type="spellStart"/>
      <w:r w:rsidRPr="00245305">
        <w:rPr>
          <w:rFonts w:ascii="Times New Roman" w:hAnsi="Times New Roman" w:cs="Times New Roman"/>
        </w:rPr>
        <w:t>Glomeromycota</w:t>
      </w:r>
      <w:proofErr w:type="spellEnd"/>
      <w:r>
        <w:rPr>
          <w:rFonts w:ascii="Times New Roman" w:hAnsi="Times New Roman" w:cs="Times New Roman"/>
        </w:rPr>
        <w:t>) are a widely distributed and</w:t>
      </w:r>
      <w:r w:rsidRPr="002E1EBD">
        <w:rPr>
          <w:rFonts w:ascii="Times New Roman" w:hAnsi="Times New Roman" w:cs="Times New Roman"/>
        </w:rPr>
        <w:t xml:space="preserve"> ecologically important group of microbes that form mutualis</w:t>
      </w:r>
      <w:r>
        <w:rPr>
          <w:rFonts w:ascii="Times New Roman" w:hAnsi="Times New Roman" w:cs="Times New Roman"/>
        </w:rPr>
        <w:t>ms</w:t>
      </w:r>
      <w:r w:rsidRPr="002E1EBD">
        <w:rPr>
          <w:rFonts w:ascii="Times New Roman" w:hAnsi="Times New Roman" w:cs="Times New Roman"/>
        </w:rPr>
        <w:t xml:space="preserve"> with </w:t>
      </w:r>
      <w:r>
        <w:rPr>
          <w:rFonts w:ascii="Times New Roman" w:hAnsi="Times New Roman" w:cs="Times New Roman"/>
        </w:rPr>
        <w:t xml:space="preserve">the roots of most terrestrial plant species </w:t>
      </w:r>
      <w:r>
        <w:rPr>
          <w:rFonts w:ascii="Times New Roman" w:hAnsi="Times New Roman" w:cs="Times New Roman"/>
          <w:noProof/>
        </w:rPr>
        <w:t>(4)</w:t>
      </w:r>
      <w:r>
        <w:rPr>
          <w:rFonts w:ascii="Times New Roman" w:hAnsi="Times New Roman" w:cs="Times New Roman"/>
        </w:rPr>
        <w:t xml:space="preserve"> </w:t>
      </w:r>
      <w:r w:rsidRPr="002E1EBD">
        <w:rPr>
          <w:rFonts w:ascii="Times New Roman" w:hAnsi="Times New Roman" w:cs="Times New Roman"/>
        </w:rPr>
        <w:t>and can shape plant communities in grassland ecosystems</w:t>
      </w:r>
      <w:r>
        <w:rPr>
          <w:rFonts w:ascii="Times New Roman" w:hAnsi="Times New Roman" w:cs="Times New Roman"/>
        </w:rPr>
        <w:t xml:space="preserve"> </w:t>
      </w:r>
      <w:r>
        <w:rPr>
          <w:rFonts w:ascii="Times New Roman" w:hAnsi="Times New Roman" w:cs="Times New Roman"/>
          <w:noProof/>
        </w:rPr>
        <w:t>(5-7)</w:t>
      </w:r>
      <w:r>
        <w:rPr>
          <w:rFonts w:ascii="Times New Roman" w:hAnsi="Times New Roman" w:cs="Times New Roman"/>
        </w:rPr>
        <w:t xml:space="preserve">. Communities of soil-dwelling </w:t>
      </w:r>
      <w:r w:rsidRPr="002E1EBD">
        <w:rPr>
          <w:rFonts w:ascii="Times New Roman" w:hAnsi="Times New Roman" w:cs="Times New Roman"/>
        </w:rPr>
        <w:t xml:space="preserve">fungi </w:t>
      </w:r>
      <w:r>
        <w:rPr>
          <w:rFonts w:ascii="Times New Roman" w:hAnsi="Times New Roman" w:cs="Times New Roman"/>
        </w:rPr>
        <w:t>are genetically and functionally diverse</w:t>
      </w:r>
      <w:r w:rsidRPr="002E1EBD">
        <w:rPr>
          <w:rFonts w:ascii="Times New Roman" w:hAnsi="Times New Roman" w:cs="Times New Roman"/>
        </w:rPr>
        <w:t xml:space="preserve"> </w:t>
      </w:r>
      <w:r>
        <w:rPr>
          <w:rFonts w:ascii="Times New Roman" w:hAnsi="Times New Roman" w:cs="Times New Roman"/>
          <w:noProof/>
        </w:rPr>
        <w:t>(8)</w:t>
      </w:r>
      <w:r>
        <w:rPr>
          <w:rFonts w:ascii="Times New Roman" w:hAnsi="Times New Roman" w:cs="Times New Roman"/>
        </w:rPr>
        <w:t xml:space="preserve">, and </w:t>
      </w:r>
      <w:proofErr w:type="gramStart"/>
      <w:r>
        <w:rPr>
          <w:rFonts w:ascii="Times New Roman" w:hAnsi="Times New Roman" w:cs="Times New Roman"/>
        </w:rPr>
        <w:t>AM</w:t>
      </w:r>
      <w:proofErr w:type="gramEnd"/>
      <w:r>
        <w:rPr>
          <w:rFonts w:ascii="Times New Roman" w:hAnsi="Times New Roman" w:cs="Times New Roman"/>
        </w:rPr>
        <w:t xml:space="preserve"> fungi </w:t>
      </w:r>
      <w:r w:rsidRPr="002E1EBD">
        <w:rPr>
          <w:rFonts w:ascii="Times New Roman" w:hAnsi="Times New Roman" w:cs="Times New Roman"/>
        </w:rPr>
        <w:t xml:space="preserve">have an exceptionally high amount of </w:t>
      </w:r>
      <w:proofErr w:type="spellStart"/>
      <w:r>
        <w:rPr>
          <w:rFonts w:ascii="Times New Roman" w:hAnsi="Times New Roman" w:cs="Times New Roman"/>
        </w:rPr>
        <w:t>rRNA</w:t>
      </w:r>
      <w:proofErr w:type="spellEnd"/>
      <w:r>
        <w:rPr>
          <w:rFonts w:ascii="Times New Roman" w:hAnsi="Times New Roman" w:cs="Times New Roman"/>
        </w:rPr>
        <w:t xml:space="preserve"> gene sequence </w:t>
      </w:r>
      <w:r w:rsidRPr="002E1EBD">
        <w:rPr>
          <w:rFonts w:ascii="Times New Roman" w:hAnsi="Times New Roman" w:cs="Times New Roman"/>
        </w:rPr>
        <w:t>variation compared to other fungal phyla</w:t>
      </w:r>
      <w:r>
        <w:rPr>
          <w:rFonts w:ascii="Times New Roman" w:hAnsi="Times New Roman" w:cs="Times New Roman"/>
        </w:rPr>
        <w:t xml:space="preserve"> </w:t>
      </w:r>
      <w:r>
        <w:rPr>
          <w:rFonts w:ascii="Times New Roman" w:hAnsi="Times New Roman" w:cs="Times New Roman"/>
          <w:noProof/>
        </w:rPr>
        <w:t>(9)</w:t>
      </w:r>
      <w:r>
        <w:rPr>
          <w:rFonts w:ascii="Times New Roman" w:hAnsi="Times New Roman" w:cs="Times New Roman"/>
        </w:rPr>
        <w:t>. However, i</w:t>
      </w:r>
      <w:r w:rsidRPr="002E1EBD">
        <w:rPr>
          <w:rFonts w:ascii="Times New Roman" w:hAnsi="Times New Roman" w:cs="Times New Roman"/>
        </w:rPr>
        <w:t xml:space="preserve">n contrast </w:t>
      </w:r>
      <w:r>
        <w:rPr>
          <w:rFonts w:ascii="Times New Roman" w:hAnsi="Times New Roman" w:cs="Times New Roman"/>
        </w:rPr>
        <w:t xml:space="preserve">to </w:t>
      </w:r>
      <w:r w:rsidRPr="002E1EBD">
        <w:rPr>
          <w:rFonts w:ascii="Times New Roman" w:hAnsi="Times New Roman" w:cs="Times New Roman"/>
        </w:rPr>
        <w:t xml:space="preserve">most other microbes including bacteria and </w:t>
      </w:r>
      <w:proofErr w:type="spellStart"/>
      <w:r w:rsidRPr="002E1EBD">
        <w:rPr>
          <w:rFonts w:ascii="Times New Roman" w:hAnsi="Times New Roman" w:cs="Times New Roman"/>
        </w:rPr>
        <w:t>arch</w:t>
      </w:r>
      <w:r>
        <w:rPr>
          <w:rFonts w:ascii="Times New Roman" w:hAnsi="Times New Roman" w:cs="Times New Roman"/>
        </w:rPr>
        <w:t>a</w:t>
      </w:r>
      <w:r w:rsidRPr="002E1EBD">
        <w:rPr>
          <w:rFonts w:ascii="Times New Roman" w:hAnsi="Times New Roman" w:cs="Times New Roman"/>
        </w:rPr>
        <w:t>ea</w:t>
      </w:r>
      <w:proofErr w:type="spellEnd"/>
      <w:r w:rsidRPr="002E1EBD">
        <w:rPr>
          <w:rFonts w:ascii="Times New Roman" w:hAnsi="Times New Roman" w:cs="Times New Roman"/>
        </w:rPr>
        <w:t xml:space="preserve">, this sequence variation can occur within a single </w:t>
      </w:r>
      <w:r>
        <w:rPr>
          <w:rFonts w:ascii="Times New Roman" w:hAnsi="Times New Roman" w:cs="Times New Roman"/>
        </w:rPr>
        <w:t xml:space="preserve">multi-nucleate </w:t>
      </w:r>
      <w:r w:rsidRPr="002E1EBD">
        <w:rPr>
          <w:rFonts w:ascii="Times New Roman" w:hAnsi="Times New Roman" w:cs="Times New Roman"/>
        </w:rPr>
        <w:t>cell</w:t>
      </w:r>
      <w:r>
        <w:rPr>
          <w:rFonts w:ascii="Times New Roman" w:hAnsi="Times New Roman" w:cs="Times New Roman"/>
        </w:rPr>
        <w:t xml:space="preserve"> of an AM fungal individual </w:t>
      </w:r>
      <w:r>
        <w:rPr>
          <w:rFonts w:ascii="Times New Roman" w:hAnsi="Times New Roman" w:cs="Times New Roman"/>
          <w:noProof/>
        </w:rPr>
        <w:t>(10, 11)</w:t>
      </w:r>
      <w:r>
        <w:rPr>
          <w:rFonts w:ascii="Times New Roman" w:hAnsi="Times New Roman" w:cs="Times New Roman"/>
        </w:rPr>
        <w:t>.</w:t>
      </w:r>
    </w:p>
    <w:p w14:paraId="7A5B2432" w14:textId="77777777" w:rsidR="00874649" w:rsidRDefault="00874649" w:rsidP="00874649">
      <w:pPr>
        <w:widowControl w:val="0"/>
        <w:tabs>
          <w:tab w:val="left" w:pos="720"/>
          <w:tab w:val="left" w:pos="1440"/>
          <w:tab w:val="left" w:pos="2160"/>
          <w:tab w:val="left" w:pos="2880"/>
          <w:tab w:val="left" w:pos="3600"/>
          <w:tab w:val="left" w:pos="4320"/>
        </w:tabs>
        <w:autoSpaceDE w:val="0"/>
        <w:autoSpaceDN w:val="0"/>
        <w:adjustRightInd w:val="0"/>
        <w:spacing w:line="480" w:lineRule="auto"/>
        <w:ind w:firstLine="360"/>
        <w:rPr>
          <w:rFonts w:ascii="Times New Roman" w:hAnsi="Times New Roman" w:cs="Times New Roman"/>
        </w:rPr>
      </w:pPr>
      <w:r>
        <w:rPr>
          <w:rFonts w:ascii="Times New Roman" w:hAnsi="Times New Roman" w:cs="Times New Roman"/>
        </w:rPr>
        <w:t xml:space="preserve">The large amount of intra-organismal sequence variation in AM fungi presents challenges when attempting to use </w:t>
      </w:r>
      <w:proofErr w:type="spellStart"/>
      <w:r>
        <w:rPr>
          <w:rFonts w:ascii="Times New Roman" w:hAnsi="Times New Roman" w:cs="Times New Roman"/>
        </w:rPr>
        <w:t>rRNA</w:t>
      </w:r>
      <w:proofErr w:type="spellEnd"/>
      <w:r>
        <w:rPr>
          <w:rFonts w:ascii="Times New Roman" w:hAnsi="Times New Roman" w:cs="Times New Roman"/>
        </w:rPr>
        <w:t xml:space="preserve"> gene trees to better understand species relationships. Currently, </w:t>
      </w:r>
      <w:proofErr w:type="gramStart"/>
      <w:r>
        <w:rPr>
          <w:rFonts w:ascii="Times New Roman" w:hAnsi="Times New Roman" w:cs="Times New Roman"/>
        </w:rPr>
        <w:t xml:space="preserve">morphology-based concepts of AM fungal species have generally been supported by </w:t>
      </w:r>
      <w:proofErr w:type="spellStart"/>
      <w:r>
        <w:rPr>
          <w:rFonts w:ascii="Times New Roman" w:hAnsi="Times New Roman" w:cs="Times New Roman"/>
        </w:rPr>
        <w:t>rRNA</w:t>
      </w:r>
      <w:proofErr w:type="spellEnd"/>
      <w:r>
        <w:rPr>
          <w:rFonts w:ascii="Times New Roman" w:hAnsi="Times New Roman" w:cs="Times New Roman"/>
        </w:rPr>
        <w:t xml:space="preserve"> gene trees</w:t>
      </w:r>
      <w:proofErr w:type="gramEnd"/>
      <w:r>
        <w:rPr>
          <w:rFonts w:ascii="Times New Roman" w:hAnsi="Times New Roman" w:cs="Times New Roman"/>
        </w:rPr>
        <w:t xml:space="preserve"> </w:t>
      </w:r>
      <w:r>
        <w:rPr>
          <w:rFonts w:ascii="Times New Roman" w:hAnsi="Times New Roman" w:cs="Times New Roman"/>
          <w:noProof/>
        </w:rPr>
        <w:t>(12-14)</w:t>
      </w:r>
      <w:r>
        <w:rPr>
          <w:rFonts w:ascii="Times New Roman" w:hAnsi="Times New Roman" w:cs="Times New Roman"/>
        </w:rPr>
        <w:t xml:space="preserve">, but these trees have been constructed using a limited amount of sequence variation. While the recent genome sequencing of isolates in the genus </w:t>
      </w:r>
      <w:r>
        <w:rPr>
          <w:rFonts w:ascii="Times New Roman" w:hAnsi="Times New Roman" w:cs="Times New Roman"/>
          <w:i/>
        </w:rPr>
        <w:t>Rhizophagus</w:t>
      </w:r>
      <w:r>
        <w:rPr>
          <w:rFonts w:ascii="Times New Roman" w:hAnsi="Times New Roman" w:cs="Times New Roman"/>
        </w:rPr>
        <w:t xml:space="preserve"> has furthered our understanding of the range of genetic variation in AM fungi </w:t>
      </w:r>
      <w:r>
        <w:rPr>
          <w:rFonts w:ascii="Times New Roman" w:hAnsi="Times New Roman" w:cs="Times New Roman"/>
          <w:noProof/>
        </w:rPr>
        <w:t>(15-17)</w:t>
      </w:r>
      <w:r>
        <w:rPr>
          <w:rFonts w:ascii="Times New Roman" w:hAnsi="Times New Roman" w:cs="Times New Roman"/>
        </w:rPr>
        <w:t>, it remains largely unknown how this genetic variation may itself vary between different evolutionary lineages. Justifiably, t</w:t>
      </w:r>
      <w:r w:rsidRPr="002E1EBD">
        <w:rPr>
          <w:rFonts w:ascii="Times New Roman" w:hAnsi="Times New Roman" w:cs="Times New Roman"/>
        </w:rPr>
        <w:t xml:space="preserve">he most comprehensive phylogeny to-date </w:t>
      </w:r>
      <w:r>
        <w:rPr>
          <w:rFonts w:ascii="Times New Roman" w:hAnsi="Times New Roman" w:cs="Times New Roman"/>
          <w:noProof/>
        </w:rPr>
        <w:t>(18)</w:t>
      </w:r>
      <w:r w:rsidRPr="002E1EBD">
        <w:rPr>
          <w:rFonts w:ascii="Times New Roman" w:hAnsi="Times New Roman" w:cs="Times New Roman"/>
        </w:rPr>
        <w:t xml:space="preserve"> </w:t>
      </w:r>
      <w:r>
        <w:rPr>
          <w:rFonts w:ascii="Times New Roman" w:hAnsi="Times New Roman" w:cs="Times New Roman"/>
        </w:rPr>
        <w:t xml:space="preserve">prioritized a taxonomically broad sampling at the cost of limiting the amount of </w:t>
      </w:r>
      <w:r w:rsidRPr="002E1EBD">
        <w:rPr>
          <w:rFonts w:ascii="Times New Roman" w:hAnsi="Times New Roman" w:cs="Times New Roman"/>
        </w:rPr>
        <w:t xml:space="preserve">sequence variation </w:t>
      </w:r>
      <w:r>
        <w:rPr>
          <w:rFonts w:ascii="Times New Roman" w:hAnsi="Times New Roman" w:cs="Times New Roman"/>
        </w:rPr>
        <w:t xml:space="preserve">sampled </w:t>
      </w:r>
      <w:r w:rsidRPr="002E1EBD">
        <w:rPr>
          <w:rFonts w:ascii="Times New Roman" w:hAnsi="Times New Roman" w:cs="Times New Roman"/>
        </w:rPr>
        <w:t xml:space="preserve">within species. </w:t>
      </w:r>
      <w:r>
        <w:rPr>
          <w:rFonts w:ascii="Times New Roman" w:hAnsi="Times New Roman" w:cs="Times New Roman"/>
        </w:rPr>
        <w:t>However, it is not currently known whether this phylogeny is robust to the inclusion of more of the inherent genetic variation that occurs within AM fungal species.</w:t>
      </w:r>
    </w:p>
    <w:p w14:paraId="15887A3E" w14:textId="77777777" w:rsidR="00874649" w:rsidRDefault="00874649" w:rsidP="00874649">
      <w:pPr>
        <w:widowControl w:val="0"/>
        <w:tabs>
          <w:tab w:val="left" w:pos="720"/>
          <w:tab w:val="left" w:pos="1440"/>
          <w:tab w:val="left" w:pos="2160"/>
          <w:tab w:val="left" w:pos="2880"/>
          <w:tab w:val="left" w:pos="3600"/>
          <w:tab w:val="left" w:pos="4320"/>
        </w:tabs>
        <w:autoSpaceDE w:val="0"/>
        <w:autoSpaceDN w:val="0"/>
        <w:adjustRightInd w:val="0"/>
        <w:spacing w:line="480" w:lineRule="auto"/>
        <w:ind w:firstLine="360"/>
        <w:rPr>
          <w:rFonts w:ascii="Times New Roman" w:hAnsi="Times New Roman" w:cs="Times New Roman"/>
        </w:rPr>
      </w:pPr>
      <w:r>
        <w:rPr>
          <w:rFonts w:ascii="Times New Roman" w:hAnsi="Times New Roman" w:cs="Times New Roman"/>
        </w:rPr>
        <w:t xml:space="preserve">Determining how the amount of sequence variation may differ among species of AM fungi is important to more accurately determine species composition from environmental samples. Different species of AM fungi, as determined by the morphology of their resting spores, can be functionally distinct </w:t>
      </w:r>
      <w:r>
        <w:rPr>
          <w:rFonts w:ascii="Times New Roman" w:hAnsi="Times New Roman" w:cs="Times New Roman"/>
          <w:noProof/>
        </w:rPr>
        <w:t>(19)</w:t>
      </w:r>
      <w:r>
        <w:rPr>
          <w:rFonts w:ascii="Times New Roman" w:hAnsi="Times New Roman" w:cs="Times New Roman"/>
        </w:rPr>
        <w:t xml:space="preserve"> and the composition of AM fungal communities can change during ecological succession </w:t>
      </w:r>
      <w:r>
        <w:rPr>
          <w:rFonts w:ascii="Times New Roman" w:hAnsi="Times New Roman" w:cs="Times New Roman"/>
          <w:noProof/>
        </w:rPr>
        <w:t>(20)</w:t>
      </w:r>
      <w:r>
        <w:rPr>
          <w:rFonts w:ascii="Times New Roman" w:hAnsi="Times New Roman" w:cs="Times New Roman"/>
        </w:rPr>
        <w:t xml:space="preserve">. However, </w:t>
      </w:r>
      <w:r w:rsidRPr="00163C29">
        <w:rPr>
          <w:rFonts w:ascii="Times New Roman" w:hAnsi="Times New Roman" w:cs="Times New Roman"/>
        </w:rPr>
        <w:t>it is necessary to use DNA sequenc</w:t>
      </w:r>
      <w:r>
        <w:rPr>
          <w:rFonts w:ascii="Times New Roman" w:hAnsi="Times New Roman" w:cs="Times New Roman"/>
        </w:rPr>
        <w:t>es from roots i</w:t>
      </w:r>
      <w:r w:rsidRPr="00163C29">
        <w:rPr>
          <w:rFonts w:ascii="Times New Roman" w:hAnsi="Times New Roman" w:cs="Times New Roman"/>
        </w:rPr>
        <w:t xml:space="preserve">n order to identify the AM fungal species that </w:t>
      </w:r>
      <w:r>
        <w:rPr>
          <w:rFonts w:ascii="Times New Roman" w:hAnsi="Times New Roman" w:cs="Times New Roman"/>
        </w:rPr>
        <w:t>have</w:t>
      </w:r>
      <w:r w:rsidRPr="00163C29">
        <w:rPr>
          <w:rFonts w:ascii="Times New Roman" w:hAnsi="Times New Roman" w:cs="Times New Roman"/>
        </w:rPr>
        <w:t xml:space="preserve"> </w:t>
      </w:r>
      <w:r>
        <w:rPr>
          <w:rFonts w:ascii="Times New Roman" w:hAnsi="Times New Roman" w:cs="Times New Roman"/>
        </w:rPr>
        <w:t>active</w:t>
      </w:r>
      <w:r w:rsidRPr="00163C29">
        <w:rPr>
          <w:rFonts w:ascii="Times New Roman" w:hAnsi="Times New Roman" w:cs="Times New Roman"/>
        </w:rPr>
        <w:t xml:space="preserve"> </w:t>
      </w:r>
      <w:proofErr w:type="spellStart"/>
      <w:r w:rsidRPr="00163C29">
        <w:rPr>
          <w:rFonts w:ascii="Times New Roman" w:hAnsi="Times New Roman" w:cs="Times New Roman"/>
        </w:rPr>
        <w:t>mycorrhizal</w:t>
      </w:r>
      <w:proofErr w:type="spellEnd"/>
      <w:r w:rsidRPr="00163C29">
        <w:rPr>
          <w:rFonts w:ascii="Times New Roman" w:hAnsi="Times New Roman" w:cs="Times New Roman"/>
        </w:rPr>
        <w:t xml:space="preserve"> associations with plant</w:t>
      </w:r>
      <w:r>
        <w:rPr>
          <w:rFonts w:ascii="Times New Roman" w:hAnsi="Times New Roman" w:cs="Times New Roman"/>
        </w:rPr>
        <w:t>s</w:t>
      </w:r>
      <w:r w:rsidRPr="00163C29">
        <w:rPr>
          <w:rFonts w:ascii="Times New Roman" w:hAnsi="Times New Roman" w:cs="Times New Roman"/>
        </w:rPr>
        <w:t xml:space="preserve">. Analysis of these sequences typically relies on clustering similar sequences into operational taxonomic units (OTUs), and assumes that </w:t>
      </w:r>
      <w:r>
        <w:rPr>
          <w:rFonts w:ascii="Times New Roman" w:hAnsi="Times New Roman" w:cs="Times New Roman"/>
        </w:rPr>
        <w:t xml:space="preserve">the </w:t>
      </w:r>
      <w:r w:rsidRPr="00163C29">
        <w:rPr>
          <w:rFonts w:ascii="Times New Roman" w:hAnsi="Times New Roman" w:cs="Times New Roman"/>
        </w:rPr>
        <w:t>sequence</w:t>
      </w:r>
      <w:r>
        <w:rPr>
          <w:rFonts w:ascii="Times New Roman" w:hAnsi="Times New Roman" w:cs="Times New Roman"/>
        </w:rPr>
        <w:t xml:space="preserve"> variation</w:t>
      </w:r>
      <w:r w:rsidRPr="00163C29">
        <w:rPr>
          <w:rFonts w:ascii="Times New Roman" w:hAnsi="Times New Roman" w:cs="Times New Roman"/>
        </w:rPr>
        <w:t xml:space="preserve"> </w:t>
      </w:r>
      <w:r>
        <w:rPr>
          <w:rFonts w:ascii="Times New Roman" w:hAnsi="Times New Roman" w:cs="Times New Roman"/>
        </w:rPr>
        <w:t>contained in</w:t>
      </w:r>
      <w:r w:rsidRPr="00163C29">
        <w:rPr>
          <w:rFonts w:ascii="Times New Roman" w:hAnsi="Times New Roman" w:cs="Times New Roman"/>
        </w:rPr>
        <w:t xml:space="preserve"> a single species</w:t>
      </w:r>
      <w:r>
        <w:rPr>
          <w:rFonts w:ascii="Times New Roman" w:hAnsi="Times New Roman" w:cs="Times New Roman"/>
        </w:rPr>
        <w:t xml:space="preserve"> is approximated by </w:t>
      </w:r>
      <w:r w:rsidRPr="00163C29">
        <w:rPr>
          <w:rFonts w:ascii="Times New Roman" w:hAnsi="Times New Roman" w:cs="Times New Roman"/>
        </w:rPr>
        <w:t>each OTU</w:t>
      </w:r>
      <w:r>
        <w:rPr>
          <w:rFonts w:ascii="Times New Roman" w:hAnsi="Times New Roman" w:cs="Times New Roman"/>
        </w:rPr>
        <w:t xml:space="preserve"> </w:t>
      </w:r>
      <w:r>
        <w:rPr>
          <w:rFonts w:ascii="Times New Roman" w:hAnsi="Times New Roman" w:cs="Times New Roman"/>
          <w:noProof/>
        </w:rPr>
        <w:t>(21-23)</w:t>
      </w:r>
      <w:r w:rsidRPr="00163C29">
        <w:rPr>
          <w:rFonts w:ascii="Times New Roman" w:hAnsi="Times New Roman" w:cs="Times New Roman"/>
        </w:rPr>
        <w:t>.</w:t>
      </w:r>
      <w:r>
        <w:rPr>
          <w:rFonts w:ascii="Times New Roman" w:hAnsi="Times New Roman" w:cs="Times New Roman"/>
        </w:rPr>
        <w:t xml:space="preserve">  </w:t>
      </w:r>
    </w:p>
    <w:p w14:paraId="2FC65B8A" w14:textId="77777777" w:rsidR="00874649" w:rsidRDefault="00874649" w:rsidP="008746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360"/>
        <w:rPr>
          <w:rFonts w:ascii="Times New Roman" w:hAnsi="Times New Roman" w:cs="Times New Roman"/>
        </w:rPr>
      </w:pPr>
      <w:r>
        <w:rPr>
          <w:rFonts w:ascii="Times New Roman" w:hAnsi="Times New Roman" w:cs="Times New Roman"/>
        </w:rPr>
        <w:t xml:space="preserve">For AM fungi the assumption that each OTU corresponds to a different species is largely untested, and may be incorrect given the large amount of intra-organismal sequence variation they contain. For studies of bacteria, including a ‘mock community’ of DNA from various strains with known OTU compositions in a sequencing run has allowed the evaluation of sequence clustering methods </w:t>
      </w:r>
      <w:r>
        <w:rPr>
          <w:rFonts w:ascii="Times New Roman" w:hAnsi="Times New Roman" w:cs="Times New Roman"/>
          <w:noProof/>
        </w:rPr>
        <w:t>(24)</w:t>
      </w:r>
      <w:r>
        <w:rPr>
          <w:rFonts w:ascii="Times New Roman" w:hAnsi="Times New Roman" w:cs="Times New Roman"/>
        </w:rPr>
        <w:t xml:space="preserve"> and the assessment of the accuracy of OTU clustering for environmental samples </w:t>
      </w:r>
      <w:r>
        <w:rPr>
          <w:rFonts w:ascii="Times New Roman" w:hAnsi="Times New Roman" w:cs="Times New Roman"/>
          <w:noProof/>
        </w:rPr>
        <w:t>(25)</w:t>
      </w:r>
      <w:r>
        <w:rPr>
          <w:rFonts w:ascii="Times New Roman" w:hAnsi="Times New Roman" w:cs="Times New Roman"/>
        </w:rPr>
        <w:t xml:space="preserve">. This ‘mock community’ approach has not been used for AM fungi. Rather, investigators have compared the utility of clustering programs for environmental samples by testing the correlation between specific OTUs and environmental variables </w:t>
      </w:r>
      <w:r>
        <w:rPr>
          <w:rFonts w:ascii="Times New Roman" w:hAnsi="Times New Roman" w:cs="Times New Roman"/>
          <w:noProof/>
        </w:rPr>
        <w:t>(22, 26, 27)</w:t>
      </w:r>
      <w:r>
        <w:rPr>
          <w:rFonts w:ascii="Times New Roman" w:hAnsi="Times New Roman" w:cs="Times New Roman"/>
        </w:rPr>
        <w:t xml:space="preserve">. These studies, however, rely on the linked assumptions that environmental factors are correlated with functional traits of AM fungi that are detectable using </w:t>
      </w:r>
      <w:proofErr w:type="spellStart"/>
      <w:r>
        <w:rPr>
          <w:rFonts w:ascii="Times New Roman" w:hAnsi="Times New Roman" w:cs="Times New Roman"/>
        </w:rPr>
        <w:t>rRNA</w:t>
      </w:r>
      <w:proofErr w:type="spellEnd"/>
      <w:r>
        <w:rPr>
          <w:rFonts w:ascii="Times New Roman" w:hAnsi="Times New Roman" w:cs="Times New Roman"/>
        </w:rPr>
        <w:t xml:space="preserve"> gene sequences, and that those functional traits themselves are correlated with different AM fungal species, either of which may not be true. Moreover, the high level of intra-specific and intra-organismal sequence variation in AM fungi may violate an essential assumption of clustering sequences into OTUs - that all sequences from the same species form a monophyletic group on the gene tree. </w:t>
      </w:r>
      <w:r w:rsidRPr="00F174FD">
        <w:rPr>
          <w:rFonts w:ascii="Times New Roman" w:hAnsi="Times New Roman" w:cs="Times New Roman"/>
        </w:rPr>
        <w:t xml:space="preserve">This assumption </w:t>
      </w:r>
      <w:r w:rsidRPr="00D73FB2">
        <w:rPr>
          <w:rFonts w:ascii="Times New Roman" w:hAnsi="Times New Roman" w:cs="Times New Roman"/>
        </w:rPr>
        <w:t xml:space="preserve">of sequence </w:t>
      </w:r>
      <w:proofErr w:type="spellStart"/>
      <w:r w:rsidRPr="00D73FB2">
        <w:rPr>
          <w:rFonts w:ascii="Times New Roman" w:hAnsi="Times New Roman" w:cs="Times New Roman"/>
        </w:rPr>
        <w:t>monophyly</w:t>
      </w:r>
      <w:proofErr w:type="spellEnd"/>
      <w:r w:rsidRPr="00D73FB2">
        <w:rPr>
          <w:rFonts w:ascii="Times New Roman" w:hAnsi="Times New Roman" w:cs="Times New Roman"/>
        </w:rPr>
        <w:t xml:space="preserve"> within species has </w:t>
      </w:r>
      <w:r w:rsidRPr="00F174FD">
        <w:rPr>
          <w:rFonts w:ascii="Times New Roman" w:hAnsi="Times New Roman" w:cs="Times New Roman"/>
        </w:rPr>
        <w:t xml:space="preserve">not </w:t>
      </w:r>
      <w:r>
        <w:rPr>
          <w:rFonts w:ascii="Times New Roman" w:hAnsi="Times New Roman" w:cs="Times New Roman"/>
        </w:rPr>
        <w:t xml:space="preserve">been </w:t>
      </w:r>
      <w:r w:rsidRPr="00F174FD">
        <w:rPr>
          <w:rFonts w:ascii="Times New Roman" w:hAnsi="Times New Roman" w:cs="Times New Roman"/>
        </w:rPr>
        <w:t xml:space="preserve">tested in a comprehensive way across AM fungal groups, but recent work has called it into question, especially for the </w:t>
      </w:r>
      <w:r>
        <w:rPr>
          <w:rFonts w:ascii="Times New Roman" w:hAnsi="Times New Roman" w:cs="Times New Roman"/>
        </w:rPr>
        <w:t xml:space="preserve">genus </w:t>
      </w:r>
      <w:r>
        <w:rPr>
          <w:rFonts w:ascii="Times New Roman" w:hAnsi="Times New Roman" w:cs="Times New Roman"/>
          <w:i/>
        </w:rPr>
        <w:t>Claroideoglomus</w:t>
      </w:r>
      <w:r>
        <w:rPr>
          <w:rFonts w:ascii="Times New Roman" w:hAnsi="Times New Roman" w:cs="Times New Roman"/>
        </w:rPr>
        <w:t xml:space="preserve"> </w:t>
      </w:r>
      <w:r>
        <w:rPr>
          <w:rFonts w:ascii="Times New Roman" w:hAnsi="Times New Roman" w:cs="Times New Roman"/>
          <w:noProof/>
        </w:rPr>
        <w:t>(28, 29)</w:t>
      </w:r>
      <w:r>
        <w:rPr>
          <w:rFonts w:ascii="Times New Roman" w:hAnsi="Times New Roman" w:cs="Times New Roman"/>
        </w:rPr>
        <w:t xml:space="preserve">. </w:t>
      </w:r>
    </w:p>
    <w:p w14:paraId="67B28DC1" w14:textId="77777777" w:rsidR="00874649" w:rsidRDefault="00874649" w:rsidP="008746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b/>
          <w:i/>
        </w:rPr>
      </w:pPr>
      <w:r w:rsidRPr="002E1EBD">
        <w:rPr>
          <w:rFonts w:ascii="Times New Roman" w:hAnsi="Times New Roman" w:cs="Times New Roman"/>
        </w:rPr>
        <w:tab/>
        <w:t xml:space="preserve">Here we </w:t>
      </w:r>
      <w:r>
        <w:rPr>
          <w:rFonts w:ascii="Times New Roman" w:hAnsi="Times New Roman" w:cs="Times New Roman"/>
        </w:rPr>
        <w:t>first evaluated</w:t>
      </w:r>
      <w:r w:rsidRPr="002E1EBD">
        <w:rPr>
          <w:rFonts w:ascii="Times New Roman" w:hAnsi="Times New Roman" w:cs="Times New Roman"/>
        </w:rPr>
        <w:t xml:space="preserve"> the range </w:t>
      </w:r>
      <w:r>
        <w:rPr>
          <w:rFonts w:ascii="Times New Roman" w:hAnsi="Times New Roman" w:cs="Times New Roman"/>
        </w:rPr>
        <w:t>of sequence variation within isolates of AM fungi distributed across 21</w:t>
      </w:r>
      <w:r w:rsidRPr="002E1EBD">
        <w:rPr>
          <w:rFonts w:ascii="Times New Roman" w:hAnsi="Times New Roman" w:cs="Times New Roman"/>
        </w:rPr>
        <w:t xml:space="preserve"> </w:t>
      </w:r>
      <w:r>
        <w:rPr>
          <w:rFonts w:ascii="Times New Roman" w:hAnsi="Times New Roman" w:cs="Times New Roman"/>
        </w:rPr>
        <w:t xml:space="preserve">morphologically defined </w:t>
      </w:r>
      <w:r w:rsidRPr="002E1EBD">
        <w:rPr>
          <w:rFonts w:ascii="Times New Roman" w:hAnsi="Times New Roman" w:cs="Times New Roman"/>
        </w:rPr>
        <w:t xml:space="preserve">species </w:t>
      </w:r>
      <w:r>
        <w:rPr>
          <w:rFonts w:ascii="Times New Roman" w:hAnsi="Times New Roman" w:cs="Times New Roman"/>
        </w:rPr>
        <w:t xml:space="preserve">by </w:t>
      </w:r>
      <w:proofErr w:type="spellStart"/>
      <w:r>
        <w:rPr>
          <w:rFonts w:ascii="Times New Roman" w:hAnsi="Times New Roman" w:cs="Times New Roman"/>
        </w:rPr>
        <w:t>pyrosequencing</w:t>
      </w:r>
      <w:proofErr w:type="spellEnd"/>
      <w:r>
        <w:rPr>
          <w:rFonts w:ascii="Times New Roman" w:hAnsi="Times New Roman" w:cs="Times New Roman"/>
        </w:rPr>
        <w:t xml:space="preserve"> the nuclear large subunit (LSU; 28S) </w:t>
      </w:r>
      <w:proofErr w:type="spellStart"/>
      <w:r>
        <w:rPr>
          <w:rFonts w:ascii="Times New Roman" w:hAnsi="Times New Roman" w:cs="Times New Roman"/>
        </w:rPr>
        <w:t>rRNA</w:t>
      </w:r>
      <w:proofErr w:type="spellEnd"/>
      <w:r>
        <w:rPr>
          <w:rFonts w:ascii="Times New Roman" w:hAnsi="Times New Roman" w:cs="Times New Roman"/>
        </w:rPr>
        <w:t xml:space="preserve"> gene from resting spores. This taxonomically broad sampling allowed us to determine the extent to which the </w:t>
      </w:r>
      <w:proofErr w:type="spellStart"/>
      <w:r>
        <w:rPr>
          <w:rFonts w:ascii="Times New Roman" w:hAnsi="Times New Roman" w:cs="Times New Roman"/>
        </w:rPr>
        <w:t>rRNA</w:t>
      </w:r>
      <w:proofErr w:type="spellEnd"/>
      <w:r>
        <w:rPr>
          <w:rFonts w:ascii="Times New Roman" w:hAnsi="Times New Roman" w:cs="Times New Roman"/>
        </w:rPr>
        <w:t xml:space="preserve"> gene tree based on few sequences </w:t>
      </w:r>
      <w:r>
        <w:rPr>
          <w:rFonts w:ascii="Times New Roman" w:hAnsi="Times New Roman" w:cs="Times New Roman"/>
          <w:noProof/>
        </w:rPr>
        <w:t>(18)</w:t>
      </w:r>
      <w:r>
        <w:rPr>
          <w:rFonts w:ascii="Times New Roman" w:hAnsi="Times New Roman" w:cs="Times New Roman"/>
        </w:rPr>
        <w:t xml:space="preserve"> is representative of the range of genetic diversity present in individual species of AM fungi. We used a novel multidimensional scaling (MDS) method that we developed </w:t>
      </w:r>
      <w:r>
        <w:rPr>
          <w:rFonts w:ascii="Times New Roman" w:hAnsi="Times New Roman" w:cs="Times New Roman"/>
          <w:noProof/>
        </w:rPr>
        <w:t>(30, 31)</w:t>
      </w:r>
      <w:r>
        <w:rPr>
          <w:rFonts w:ascii="Times New Roman" w:hAnsi="Times New Roman" w:cs="Times New Roman"/>
        </w:rPr>
        <w:t xml:space="preserve"> to visualize the sequence variation in the dataset and to compare it with evolutionary relationships inferred by the gene tree. We then tested whether there are taxonomic or phylogenetic patterns in the distribution of sequence variation across AM fungi. Finally, we used this range of variation together with the MDS visualization method to evaluate how accurately the OTUs generated by four different </w:t>
      </w:r>
      <w:proofErr w:type="gramStart"/>
      <w:r>
        <w:rPr>
          <w:rFonts w:ascii="Times New Roman" w:hAnsi="Times New Roman" w:cs="Times New Roman"/>
        </w:rPr>
        <w:t>sequence clustering</w:t>
      </w:r>
      <w:proofErr w:type="gramEnd"/>
      <w:r>
        <w:rPr>
          <w:rFonts w:ascii="Times New Roman" w:hAnsi="Times New Roman" w:cs="Times New Roman"/>
        </w:rPr>
        <w:t xml:space="preserve"> methods match the known species composition. </w:t>
      </w:r>
      <w:r w:rsidRPr="002E1EBD">
        <w:rPr>
          <w:rFonts w:ascii="Times New Roman" w:hAnsi="Times New Roman" w:cs="Times New Roman"/>
        </w:rPr>
        <w:t xml:space="preserve">These methods </w:t>
      </w:r>
      <w:r>
        <w:rPr>
          <w:rFonts w:ascii="Times New Roman" w:hAnsi="Times New Roman" w:cs="Times New Roman"/>
        </w:rPr>
        <w:t>represented</w:t>
      </w:r>
      <w:r w:rsidRPr="002E1EBD">
        <w:rPr>
          <w:rFonts w:ascii="Times New Roman" w:hAnsi="Times New Roman" w:cs="Times New Roman"/>
        </w:rPr>
        <w:t xml:space="preserve"> three di</w:t>
      </w:r>
      <w:r>
        <w:rPr>
          <w:rFonts w:ascii="Times New Roman" w:hAnsi="Times New Roman" w:cs="Times New Roman"/>
        </w:rPr>
        <w:t>stinct</w:t>
      </w:r>
      <w:r w:rsidRPr="002E1EBD">
        <w:rPr>
          <w:rFonts w:ascii="Times New Roman" w:hAnsi="Times New Roman" w:cs="Times New Roman"/>
        </w:rPr>
        <w:t xml:space="preserve"> types of clustering algorithms: 1) Greedy</w:t>
      </w:r>
      <w:r>
        <w:rPr>
          <w:rFonts w:ascii="Times New Roman" w:hAnsi="Times New Roman" w:cs="Times New Roman"/>
        </w:rPr>
        <w:t xml:space="preserve"> (or top-down:</w:t>
      </w:r>
      <w:r w:rsidRPr="002E1EBD">
        <w:rPr>
          <w:rFonts w:ascii="Times New Roman" w:hAnsi="Times New Roman" w:cs="Times New Roman"/>
        </w:rPr>
        <w:t xml:space="preserve"> </w:t>
      </w:r>
      <w:proofErr w:type="spellStart"/>
      <w:r w:rsidRPr="002E1EBD">
        <w:rPr>
          <w:rFonts w:ascii="Times New Roman" w:hAnsi="Times New Roman" w:cs="Times New Roman"/>
        </w:rPr>
        <w:t>AbundantOTU</w:t>
      </w:r>
      <w:proofErr w:type="spellEnd"/>
      <w:r w:rsidRPr="002E1EBD">
        <w:rPr>
          <w:rFonts w:ascii="Times New Roman" w:hAnsi="Times New Roman" w:cs="Times New Roman"/>
        </w:rPr>
        <w:t xml:space="preserve"> </w:t>
      </w:r>
      <w:r>
        <w:rPr>
          <w:rFonts w:ascii="Times New Roman" w:hAnsi="Times New Roman" w:cs="Times New Roman"/>
          <w:noProof/>
        </w:rPr>
        <w:t>(32)</w:t>
      </w:r>
      <w:r w:rsidRPr="002E1EBD">
        <w:rPr>
          <w:rFonts w:ascii="Times New Roman" w:hAnsi="Times New Roman" w:cs="Times New Roman"/>
        </w:rPr>
        <w:t xml:space="preserve"> and UPARSE</w:t>
      </w:r>
      <w:r>
        <w:rPr>
          <w:rFonts w:ascii="Times New Roman" w:hAnsi="Times New Roman" w:cs="Times New Roman"/>
        </w:rPr>
        <w:t xml:space="preserve"> </w:t>
      </w:r>
      <w:r>
        <w:rPr>
          <w:rFonts w:ascii="Times New Roman" w:hAnsi="Times New Roman" w:cs="Times New Roman"/>
          <w:noProof/>
        </w:rPr>
        <w:t>(33)</w:t>
      </w:r>
      <w:r w:rsidRPr="002E1EBD">
        <w:rPr>
          <w:rFonts w:ascii="Times New Roman" w:hAnsi="Times New Roman" w:cs="Times New Roman"/>
        </w:rPr>
        <w:t xml:space="preserve">, and 2) Hierarchical </w:t>
      </w:r>
      <w:r>
        <w:rPr>
          <w:rFonts w:ascii="Times New Roman" w:hAnsi="Times New Roman" w:cs="Times New Roman"/>
        </w:rPr>
        <w:t xml:space="preserve">(or bottom-up: </w:t>
      </w:r>
      <w:proofErr w:type="spellStart"/>
      <w:r w:rsidRPr="002E1EBD">
        <w:rPr>
          <w:rFonts w:ascii="Times New Roman" w:hAnsi="Times New Roman" w:cs="Times New Roman"/>
        </w:rPr>
        <w:t>mothur</w:t>
      </w:r>
      <w:proofErr w:type="spellEnd"/>
      <w:r>
        <w:rPr>
          <w:rFonts w:ascii="Times New Roman" w:hAnsi="Times New Roman" w:cs="Times New Roman"/>
        </w:rPr>
        <w:t xml:space="preserve"> </w:t>
      </w:r>
      <w:r>
        <w:rPr>
          <w:rFonts w:ascii="Times New Roman" w:hAnsi="Times New Roman" w:cs="Times New Roman"/>
          <w:noProof/>
        </w:rPr>
        <w:t>(34)</w:t>
      </w:r>
      <w:r>
        <w:rPr>
          <w:rFonts w:ascii="Times New Roman" w:hAnsi="Times New Roman" w:cs="Times New Roman"/>
        </w:rPr>
        <w:t>)</w:t>
      </w:r>
      <w:r w:rsidRPr="002E1EBD">
        <w:rPr>
          <w:rFonts w:ascii="Times New Roman" w:hAnsi="Times New Roman" w:cs="Times New Roman"/>
        </w:rPr>
        <w:t>, algorithms that require a defined sequence similarity threshold, a</w:t>
      </w:r>
      <w:r>
        <w:rPr>
          <w:rFonts w:ascii="Times New Roman" w:hAnsi="Times New Roman" w:cs="Times New Roman"/>
        </w:rPr>
        <w:t>s well as</w:t>
      </w:r>
      <w:r w:rsidRPr="002E1EBD">
        <w:rPr>
          <w:rFonts w:ascii="Times New Roman" w:hAnsi="Times New Roman" w:cs="Times New Roman"/>
        </w:rPr>
        <w:t xml:space="preserve"> 3) a Bayesian </w:t>
      </w:r>
      <w:r>
        <w:rPr>
          <w:rFonts w:ascii="Times New Roman" w:hAnsi="Times New Roman" w:cs="Times New Roman"/>
        </w:rPr>
        <w:t>clustering algorithm (</w:t>
      </w:r>
      <w:r w:rsidRPr="002E1EBD">
        <w:rPr>
          <w:rFonts w:ascii="Times New Roman" w:hAnsi="Times New Roman" w:cs="Times New Roman"/>
        </w:rPr>
        <w:t>CROP</w:t>
      </w:r>
      <w:r>
        <w:rPr>
          <w:rFonts w:ascii="Times New Roman" w:hAnsi="Times New Roman" w:cs="Times New Roman"/>
        </w:rPr>
        <w:t xml:space="preserve"> </w:t>
      </w:r>
      <w:r>
        <w:rPr>
          <w:rFonts w:ascii="Times New Roman" w:hAnsi="Times New Roman" w:cs="Times New Roman"/>
          <w:noProof/>
        </w:rPr>
        <w:t>(35)</w:t>
      </w:r>
      <w:r>
        <w:rPr>
          <w:rFonts w:ascii="Times New Roman" w:hAnsi="Times New Roman" w:cs="Times New Roman"/>
        </w:rPr>
        <w:t>)</w:t>
      </w:r>
      <w:r w:rsidRPr="002E1EBD">
        <w:rPr>
          <w:rFonts w:ascii="Times New Roman" w:hAnsi="Times New Roman" w:cs="Times New Roman"/>
        </w:rPr>
        <w:t xml:space="preserve"> </w:t>
      </w:r>
      <w:r>
        <w:rPr>
          <w:rFonts w:ascii="Times New Roman" w:hAnsi="Times New Roman" w:cs="Times New Roman"/>
        </w:rPr>
        <w:t>that</w:t>
      </w:r>
      <w:r w:rsidRPr="002E1EBD">
        <w:rPr>
          <w:rFonts w:ascii="Times New Roman" w:hAnsi="Times New Roman" w:cs="Times New Roman"/>
        </w:rPr>
        <w:t xml:space="preserve"> does not</w:t>
      </w:r>
      <w:r>
        <w:rPr>
          <w:rFonts w:ascii="Times New Roman" w:hAnsi="Times New Roman" w:cs="Times New Roman"/>
        </w:rPr>
        <w:t>.</w:t>
      </w:r>
    </w:p>
    <w:p w14:paraId="47F51009" w14:textId="77777777" w:rsidR="00874649" w:rsidRPr="00874649" w:rsidRDefault="00874649" w:rsidP="00874649">
      <w:pPr>
        <w:spacing w:line="480" w:lineRule="auto"/>
        <w:rPr>
          <w:b/>
        </w:rPr>
      </w:pPr>
      <w:r w:rsidRPr="00874649">
        <w:rPr>
          <w:b/>
        </w:rPr>
        <w:t>Methods</w:t>
      </w:r>
    </w:p>
    <w:p w14:paraId="1F750AD4" w14:textId="77777777" w:rsidR="00874649" w:rsidRPr="00E17C13"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bookmarkStart w:id="1" w:name="Draft_for_Word_415-2"/>
      <w:r>
        <w:t xml:space="preserve">Sequences were primarily obtained </w:t>
      </w:r>
      <w:r w:rsidRPr="002E1EBD">
        <w:t>from resting spores of 21 species</w:t>
      </w:r>
      <w:r>
        <w:t xml:space="preserve"> of AM fungi from soil-based cultures. Four species were represented by multiple geographic isolates, and eight species had multiple independent DNA extractions. Spore surfaces were cleaned before crushing, and spore contents served as DNA template to amplify the phylogenetically informative D2 region of the LSU </w:t>
      </w:r>
      <w:proofErr w:type="spellStart"/>
      <w:r>
        <w:t>rRNA</w:t>
      </w:r>
      <w:proofErr w:type="spellEnd"/>
      <w:r>
        <w:t xml:space="preserve"> gene, which was then </w:t>
      </w:r>
      <w:proofErr w:type="spellStart"/>
      <w:r>
        <w:t>pyrosequenced</w:t>
      </w:r>
      <w:proofErr w:type="spellEnd"/>
      <w:r>
        <w:t xml:space="preserve"> (454, Roche). Sequences were subjected to stringent quality screening and chimeric sequences were removed using UCHIME </w:t>
      </w:r>
      <w:r>
        <w:rPr>
          <w:noProof/>
        </w:rPr>
        <w:t>(36)</w:t>
      </w:r>
      <w:r>
        <w:t xml:space="preserve">. These sequences were then supplemented by sequences from </w:t>
      </w:r>
      <w:proofErr w:type="spellStart"/>
      <w:r>
        <w:t>GenBank</w:t>
      </w:r>
      <w:proofErr w:type="spellEnd"/>
      <w:r>
        <w:t xml:space="preserve"> and from the most comprehensive AM fungal phylogeny to-date </w:t>
      </w:r>
      <w:r>
        <w:rPr>
          <w:noProof/>
        </w:rPr>
        <w:t>(18)</w:t>
      </w:r>
      <w:r>
        <w:t xml:space="preserve"> to add taxonomic breadth for phylogeny construction. We followed the consensus names for AM fungal genera proposed by </w:t>
      </w:r>
      <w:r>
        <w:rPr>
          <w:noProof/>
        </w:rPr>
        <w:t>(14)</w:t>
      </w:r>
      <w:r>
        <w:t xml:space="preserve">, except for </w:t>
      </w:r>
      <w:r>
        <w:rPr>
          <w:i/>
        </w:rPr>
        <w:t>Claroideoglomus</w:t>
      </w:r>
      <w:r>
        <w:t xml:space="preserve"> and </w:t>
      </w:r>
      <w:r>
        <w:rPr>
          <w:i/>
        </w:rPr>
        <w:t>Entrophospora</w:t>
      </w:r>
      <w:r>
        <w:t>, which we grouped together (see results and discussion). See the supplemental methods and Table S1 for more detail about accessions and sequencing methods.</w:t>
      </w:r>
    </w:p>
    <w:bookmarkEnd w:id="1"/>
    <w:p w14:paraId="682D2D85"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r w:rsidRPr="002E1EBD">
        <w:t xml:space="preserve">Sequence </w:t>
      </w:r>
      <w:r>
        <w:t>variation was</w:t>
      </w:r>
      <w:r w:rsidRPr="002E1EBD">
        <w:t xml:space="preserve"> </w:t>
      </w:r>
      <w:r>
        <w:t xml:space="preserve">directly </w:t>
      </w:r>
      <w:r w:rsidRPr="002E1EBD">
        <w:t xml:space="preserve">visualized in </w:t>
      </w:r>
      <w:r>
        <w:t>three</w:t>
      </w:r>
      <w:r w:rsidRPr="002E1EBD">
        <w:t xml:space="preserve">-dimensions using </w:t>
      </w:r>
      <w:r>
        <w:t>a novel</w:t>
      </w:r>
      <w:r w:rsidRPr="002E1EBD">
        <w:t xml:space="preserve"> MDS visualization algorithm </w:t>
      </w:r>
      <w:r>
        <w:rPr>
          <w:noProof/>
        </w:rPr>
        <w:t>(30)</w:t>
      </w:r>
      <w:r w:rsidRPr="002E1EBD">
        <w:t>, with each sequence represented by a</w:t>
      </w:r>
      <w:r>
        <w:t xml:space="preserve">n individual </w:t>
      </w:r>
      <w:r w:rsidRPr="002E1EBD">
        <w:t xml:space="preserve">point. </w:t>
      </w:r>
      <w:r>
        <w:t xml:space="preserve">To compare patterns of sequence similarity with evolutionary relationships, we interpolated a maximum likelihood phylogenetic tree constructed using </w:t>
      </w:r>
      <w:proofErr w:type="spellStart"/>
      <w:r>
        <w:t>RAxML</w:t>
      </w:r>
      <w:proofErr w:type="spellEnd"/>
      <w:r>
        <w:t xml:space="preserve"> </w:t>
      </w:r>
      <w:r>
        <w:rPr>
          <w:noProof/>
        </w:rPr>
        <w:t>(37)</w:t>
      </w:r>
      <w:r>
        <w:t xml:space="preserve"> into the MDS visualization using a neighbor-joining algorithm we developed previously </w:t>
      </w:r>
      <w:r>
        <w:rPr>
          <w:noProof/>
        </w:rPr>
        <w:t>(31)</w:t>
      </w:r>
      <w:r>
        <w:t xml:space="preserve">. To delineate OTUs among the sequences, we clustered the dataset using </w:t>
      </w:r>
      <w:proofErr w:type="spellStart"/>
      <w:r w:rsidRPr="002E1EBD">
        <w:t>AbundantOTU</w:t>
      </w:r>
      <w:proofErr w:type="spellEnd"/>
      <w:r w:rsidRPr="002E1EBD">
        <w:t xml:space="preserve">, </w:t>
      </w:r>
      <w:proofErr w:type="spellStart"/>
      <w:r w:rsidRPr="002E1EBD">
        <w:t>mothur</w:t>
      </w:r>
      <w:proofErr w:type="spellEnd"/>
      <w:r w:rsidRPr="002E1EBD">
        <w:t>, and UPARSE</w:t>
      </w:r>
      <w:r>
        <w:t xml:space="preserve"> </w:t>
      </w:r>
      <w:proofErr w:type="gramStart"/>
      <w:r>
        <w:t xml:space="preserve">with </w:t>
      </w:r>
      <w:r w:rsidRPr="002E1EBD">
        <w:t xml:space="preserve"> 97</w:t>
      </w:r>
      <w:proofErr w:type="gramEnd"/>
      <w:r w:rsidRPr="002E1EBD">
        <w:t xml:space="preserve">% sequence similarity </w:t>
      </w:r>
      <w:r>
        <w:t>thresholds using</w:t>
      </w:r>
      <w:r w:rsidRPr="002E1EBD">
        <w:t xml:space="preserve"> default settings</w:t>
      </w:r>
      <w:r>
        <w:t xml:space="preserve">, and using CROP with parameter values </w:t>
      </w:r>
      <w:r w:rsidRPr="002E1EBD">
        <w:t xml:space="preserve">meant to approximate </w:t>
      </w:r>
      <w:r>
        <w:t xml:space="preserve">a </w:t>
      </w:r>
      <w:r w:rsidRPr="002E1EBD">
        <w:t>97%</w:t>
      </w:r>
      <w:r>
        <w:t xml:space="preserve"> similarity threshold. To visually compare the extents of the resulting OTUs, we color-coded the point representing each sequence in the MDS visualization according to its</w:t>
      </w:r>
      <w:r w:rsidRPr="002E1EBD">
        <w:t xml:space="preserve"> OTU </w:t>
      </w:r>
      <w:r>
        <w:t>membership</w:t>
      </w:r>
      <w:r w:rsidRPr="002E1EBD">
        <w:t xml:space="preserve">. </w:t>
      </w:r>
      <w:r>
        <w:t>We used the adjusted Rand index to quantify how accurately the OTUs produced by each clustering method compared to the known species composition.</w:t>
      </w:r>
    </w:p>
    <w:p w14:paraId="28384499"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r>
        <w:t>For each 454 barcode, which represents sequences from different species, geographic isolates, or replicate DNA extractions, we calculated: per-site nucleotide diversity (</w:t>
      </w:r>
      <w:r w:rsidRPr="009F435E">
        <w:t>π)</w:t>
      </w:r>
      <w:r>
        <w:t xml:space="preserve">, and as well as both the </w:t>
      </w:r>
      <w:r w:rsidRPr="002E1EBD">
        <w:t xml:space="preserve">number of OTUs in which sequences from each </w:t>
      </w:r>
      <w:r>
        <w:t>barcode</w:t>
      </w:r>
      <w:r w:rsidRPr="002E1EBD">
        <w:t xml:space="preserve"> appeared</w:t>
      </w:r>
      <w:r>
        <w:t>,</w:t>
      </w:r>
      <w:r w:rsidRPr="002E1EBD">
        <w:t xml:space="preserve"> </w:t>
      </w:r>
      <w:r>
        <w:t xml:space="preserve">standardized by sequence number </w:t>
      </w:r>
      <w:r w:rsidRPr="002E1EBD">
        <w:t>(</w:t>
      </w:r>
      <w:r>
        <w:t xml:space="preserve">rarefied OTU richness), and </w:t>
      </w:r>
      <w:r w:rsidRPr="002E1EBD">
        <w:t xml:space="preserve">the Shannon diversity index of the number of sequences from each </w:t>
      </w:r>
      <w:r>
        <w:t>barcode</w:t>
      </w:r>
      <w:r w:rsidRPr="002E1EBD">
        <w:t xml:space="preserve"> </w:t>
      </w:r>
      <w:r>
        <w:t>contained in</w:t>
      </w:r>
      <w:r w:rsidRPr="002E1EBD">
        <w:t xml:space="preserve"> each OTU (</w:t>
      </w:r>
      <w:r>
        <w:t>OTU diversity</w:t>
      </w:r>
      <w:r w:rsidRPr="002E1EBD">
        <w:t>)</w:t>
      </w:r>
      <w:r>
        <w:t xml:space="preserve"> repeated for each clustering method</w:t>
      </w:r>
      <w:r w:rsidRPr="002E1EBD">
        <w:t xml:space="preserve">. </w:t>
      </w:r>
      <w:r>
        <w:t>We used mixed models to</w:t>
      </w:r>
      <w:r w:rsidRPr="002E1EBD">
        <w:t xml:space="preserve"> </w:t>
      </w:r>
      <w:r>
        <w:t>determine how</w:t>
      </w:r>
      <w:r w:rsidRPr="002E1EBD">
        <w:t xml:space="preserve"> </w:t>
      </w:r>
      <w:r>
        <w:t xml:space="preserve">these three metrics varied across taxonomic groups, and tested for phylogenetic signal in them by adapting a linear regression-based approach developed to estimate the heritability using genetic markers </w:t>
      </w:r>
      <w:r>
        <w:rPr>
          <w:noProof/>
        </w:rPr>
        <w:t>(38)</w:t>
      </w:r>
      <w:r>
        <w:t xml:space="preserve"> (See supplemental methods). </w:t>
      </w:r>
    </w:p>
    <w:p w14:paraId="11AC7009" w14:textId="77777777" w:rsidR="00874649" w:rsidRPr="00874649" w:rsidRDefault="00874649" w:rsidP="00874649">
      <w:pPr>
        <w:rPr>
          <w:b/>
        </w:rPr>
      </w:pPr>
      <w:r w:rsidRPr="00874649">
        <w:rPr>
          <w:b/>
        </w:rPr>
        <w:t>Results</w:t>
      </w:r>
    </w:p>
    <w:p w14:paraId="1F52C391" w14:textId="77777777" w:rsidR="00874649" w:rsidRDefault="00874649" w:rsidP="00874649"/>
    <w:p w14:paraId="4525514A" w14:textId="77777777" w:rsidR="00874649" w:rsidRDefault="00874649" w:rsidP="00874649">
      <w:pPr>
        <w:spacing w:line="480" w:lineRule="auto"/>
      </w:pPr>
      <w:proofErr w:type="spellStart"/>
      <w:proofErr w:type="gramStart"/>
      <w:r w:rsidRPr="005324E9">
        <w:rPr>
          <w:i/>
        </w:rPr>
        <w:t>rRNA</w:t>
      </w:r>
      <w:proofErr w:type="spellEnd"/>
      <w:proofErr w:type="gramEnd"/>
      <w:r w:rsidRPr="005324E9">
        <w:rPr>
          <w:i/>
        </w:rPr>
        <w:t xml:space="preserve"> gene </w:t>
      </w:r>
      <w:r>
        <w:rPr>
          <w:i/>
        </w:rPr>
        <w:t>tree</w:t>
      </w:r>
      <w:r w:rsidRPr="005324E9">
        <w:rPr>
          <w:i/>
        </w:rPr>
        <w:t xml:space="preserve"> </w:t>
      </w:r>
      <w:r>
        <w:rPr>
          <w:i/>
        </w:rPr>
        <w:t>closely corresponds to</w:t>
      </w:r>
      <w:r w:rsidRPr="005324E9">
        <w:rPr>
          <w:i/>
        </w:rPr>
        <w:t xml:space="preserve"> </w:t>
      </w:r>
      <w:r>
        <w:rPr>
          <w:i/>
        </w:rPr>
        <w:t xml:space="preserve">the MDS </w:t>
      </w:r>
      <w:r w:rsidRPr="005324E9">
        <w:rPr>
          <w:i/>
        </w:rPr>
        <w:t xml:space="preserve">visualization </w:t>
      </w:r>
    </w:p>
    <w:p w14:paraId="43AC65E4" w14:textId="77777777" w:rsidR="00874649" w:rsidRDefault="00874649" w:rsidP="00874649">
      <w:pPr>
        <w:spacing w:line="480" w:lineRule="auto"/>
        <w:ind w:firstLine="360"/>
      </w:pPr>
      <w:r>
        <w:t xml:space="preserve">The gene tree from a representative set of consensus sequences generally assigned sequences from each genus to a single monophyletic group with the exception of </w:t>
      </w:r>
      <w:r>
        <w:rPr>
          <w:i/>
        </w:rPr>
        <w:t>Rhizophagus</w:t>
      </w:r>
      <w:r>
        <w:t xml:space="preserve"> (Fig. 1A). Genus-level clades on the gene tree closely matched the MDS visualization of variation among all sequences due to the tree topology connecting clusters of sequences from the same genus with branches derived from relatively shallow nodes close to the leaves (Fig. 1B and C). In both the MDS visualization and the gene tree, sequences from </w:t>
      </w:r>
      <w:r>
        <w:rPr>
          <w:i/>
        </w:rPr>
        <w:t xml:space="preserve">Entrophospora infrequens </w:t>
      </w:r>
      <w:r>
        <w:t xml:space="preserve">and those from </w:t>
      </w:r>
      <w:r>
        <w:rPr>
          <w:i/>
        </w:rPr>
        <w:t>Claroideoglomus</w:t>
      </w:r>
      <w:r>
        <w:t xml:space="preserve"> species were indistinguishable from each other, and we therefore consider them to be in the same genus.</w:t>
      </w:r>
    </w:p>
    <w:p w14:paraId="47CDA5C8" w14:textId="77777777" w:rsidR="00874649" w:rsidRDefault="00874649" w:rsidP="00874649">
      <w:pPr>
        <w:spacing w:line="480" w:lineRule="auto"/>
      </w:pPr>
      <w:r>
        <w:rPr>
          <w:i/>
        </w:rPr>
        <w:t xml:space="preserve">Test of </w:t>
      </w:r>
      <w:proofErr w:type="spellStart"/>
      <w:r>
        <w:rPr>
          <w:i/>
        </w:rPr>
        <w:t>monophyly</w:t>
      </w:r>
      <w:proofErr w:type="spellEnd"/>
      <w:r>
        <w:rPr>
          <w:i/>
        </w:rPr>
        <w:t xml:space="preserve"> of </w:t>
      </w:r>
      <w:proofErr w:type="spellStart"/>
      <w:r>
        <w:rPr>
          <w:i/>
        </w:rPr>
        <w:t>rRNA</w:t>
      </w:r>
      <w:proofErr w:type="spellEnd"/>
      <w:r>
        <w:rPr>
          <w:i/>
        </w:rPr>
        <w:t xml:space="preserve"> sequences within s</w:t>
      </w:r>
      <w:r w:rsidRPr="005324E9">
        <w:rPr>
          <w:i/>
        </w:rPr>
        <w:t>pecies</w:t>
      </w:r>
    </w:p>
    <w:p w14:paraId="375DCE36" w14:textId="77777777" w:rsidR="00874649" w:rsidRDefault="00874649" w:rsidP="00874649">
      <w:pPr>
        <w:spacing w:line="480" w:lineRule="auto"/>
        <w:ind w:firstLine="360"/>
      </w:pPr>
      <w:r>
        <w:t xml:space="preserve">For the </w:t>
      </w:r>
      <w:proofErr w:type="spellStart"/>
      <w:r w:rsidRPr="00D73FB2">
        <w:t>Gigasporaceae</w:t>
      </w:r>
      <w:proofErr w:type="spellEnd"/>
      <w:r>
        <w:t xml:space="preserve"> (genera </w:t>
      </w:r>
      <w:proofErr w:type="spellStart"/>
      <w:r w:rsidRPr="00624230">
        <w:rPr>
          <w:i/>
        </w:rPr>
        <w:t>Scutellospora</w:t>
      </w:r>
      <w:proofErr w:type="spellEnd"/>
      <w:r w:rsidRPr="00624230">
        <w:rPr>
          <w:i/>
        </w:rPr>
        <w:t xml:space="preserve">, </w:t>
      </w:r>
      <w:proofErr w:type="spellStart"/>
      <w:r w:rsidRPr="00624230">
        <w:rPr>
          <w:i/>
        </w:rPr>
        <w:t>Racocetra</w:t>
      </w:r>
      <w:proofErr w:type="spellEnd"/>
      <w:r w:rsidRPr="00624230">
        <w:rPr>
          <w:i/>
        </w:rPr>
        <w:t xml:space="preserve">, </w:t>
      </w:r>
      <w:proofErr w:type="spellStart"/>
      <w:r w:rsidRPr="00624230">
        <w:rPr>
          <w:i/>
        </w:rPr>
        <w:t>Gigaspora</w:t>
      </w:r>
      <w:proofErr w:type="spellEnd"/>
      <w:r w:rsidRPr="00624230">
        <w:rPr>
          <w:i/>
        </w:rPr>
        <w:t xml:space="preserve">, </w:t>
      </w:r>
      <w:proofErr w:type="spellStart"/>
      <w:r w:rsidRPr="00624230">
        <w:rPr>
          <w:i/>
        </w:rPr>
        <w:t>Cetraspora</w:t>
      </w:r>
      <w:proofErr w:type="spellEnd"/>
      <w:r w:rsidRPr="00624230">
        <w:rPr>
          <w:i/>
        </w:rPr>
        <w:t xml:space="preserve">, </w:t>
      </w:r>
      <w:r w:rsidRPr="00BF6AD3">
        <w:t>and</w:t>
      </w:r>
      <w:r w:rsidRPr="00624230">
        <w:rPr>
          <w:i/>
        </w:rPr>
        <w:t xml:space="preserve"> </w:t>
      </w:r>
      <w:proofErr w:type="spellStart"/>
      <w:r w:rsidRPr="00624230">
        <w:rPr>
          <w:i/>
        </w:rPr>
        <w:t>Dentiscutata</w:t>
      </w:r>
      <w:proofErr w:type="spellEnd"/>
      <w:r>
        <w:t>), sequences from each species consistently formed monophyletic groups (Fig. 2A).</w:t>
      </w:r>
      <w:r w:rsidRPr="00624230">
        <w:rPr>
          <w:i/>
        </w:rPr>
        <w:t xml:space="preserve"> </w:t>
      </w:r>
      <w:r>
        <w:t xml:space="preserve">This pattern of </w:t>
      </w:r>
      <w:proofErr w:type="spellStart"/>
      <w:r>
        <w:t>monophyly</w:t>
      </w:r>
      <w:proofErr w:type="spellEnd"/>
      <w:r>
        <w:t xml:space="preserve"> was also evident in the </w:t>
      </w:r>
      <w:proofErr w:type="spellStart"/>
      <w:r>
        <w:t>heatmap</w:t>
      </w:r>
      <w:proofErr w:type="spellEnd"/>
      <w:r>
        <w:t xml:space="preserve"> of pairwise sequence divergence between randomly selected sequences</w:t>
      </w:r>
      <w:r w:rsidDel="0011147A">
        <w:t xml:space="preserve"> </w:t>
      </w:r>
      <w:r>
        <w:t xml:space="preserve">that was calculated independently of the phylogeny: sequences from the same species (triangular tiles on the diagonal), were most similar to each other, followed by sequences from closely related species (square tiles near the diagonal) (Fig. 2B). This pattern was also apparent for species in the genus </w:t>
      </w:r>
      <w:r w:rsidRPr="00624230">
        <w:rPr>
          <w:i/>
        </w:rPr>
        <w:t>Rhizophagus</w:t>
      </w:r>
      <w:r>
        <w:t xml:space="preserve"> (family </w:t>
      </w:r>
      <w:proofErr w:type="spellStart"/>
      <w:r w:rsidRPr="00D73FB2">
        <w:t>Glomeraceae</w:t>
      </w:r>
      <w:proofErr w:type="spellEnd"/>
      <w:r>
        <w:t xml:space="preserve">) despite the larger amount of intraspecific sequence variation in this group indicated by less consistent blocks of color in the </w:t>
      </w:r>
      <w:proofErr w:type="spellStart"/>
      <w:r>
        <w:t>heatmap</w:t>
      </w:r>
      <w:proofErr w:type="spellEnd"/>
      <w:r>
        <w:t xml:space="preserve"> (Fig. 2C-D). </w:t>
      </w:r>
    </w:p>
    <w:p w14:paraId="24BCBE51" w14:textId="77777777" w:rsidR="00874649" w:rsidRDefault="00874649" w:rsidP="00874649">
      <w:pPr>
        <w:spacing w:line="480" w:lineRule="auto"/>
        <w:ind w:firstLine="360"/>
      </w:pPr>
      <w:r>
        <w:t xml:space="preserve">In contrast, sequences from species in </w:t>
      </w:r>
      <w:r w:rsidRPr="00624230">
        <w:rPr>
          <w:i/>
        </w:rPr>
        <w:t>Claroideoglomus</w:t>
      </w:r>
      <w:r>
        <w:t xml:space="preserve"> and </w:t>
      </w:r>
      <w:r w:rsidRPr="00624230">
        <w:rPr>
          <w:i/>
        </w:rPr>
        <w:t>Entrophospora</w:t>
      </w:r>
      <w:r>
        <w:t xml:space="preserve"> did not always form monophyletic groups on the gene tree (Fig. 2E). All sequences from </w:t>
      </w:r>
      <w:r w:rsidRPr="00624230">
        <w:rPr>
          <w:i/>
        </w:rPr>
        <w:t xml:space="preserve">C. </w:t>
      </w:r>
      <w:proofErr w:type="spellStart"/>
      <w:r w:rsidRPr="00624230">
        <w:rPr>
          <w:i/>
        </w:rPr>
        <w:t>etunicatum</w:t>
      </w:r>
      <w:proofErr w:type="spellEnd"/>
      <w:r>
        <w:t xml:space="preserve"> (green) and </w:t>
      </w:r>
      <w:r w:rsidRPr="00624230">
        <w:rPr>
          <w:i/>
        </w:rPr>
        <w:t xml:space="preserve">C. </w:t>
      </w:r>
      <w:proofErr w:type="spellStart"/>
      <w:r w:rsidRPr="00624230">
        <w:rPr>
          <w:i/>
        </w:rPr>
        <w:t>luteum</w:t>
      </w:r>
      <w:proofErr w:type="spellEnd"/>
      <w:r>
        <w:t xml:space="preserve"> (yellow), as well as a subset of sequences from </w:t>
      </w:r>
      <w:r w:rsidRPr="00624230">
        <w:rPr>
          <w:i/>
        </w:rPr>
        <w:t xml:space="preserve">C. </w:t>
      </w:r>
      <w:proofErr w:type="spellStart"/>
      <w:r w:rsidRPr="00624230">
        <w:rPr>
          <w:i/>
        </w:rPr>
        <w:t>claroideum</w:t>
      </w:r>
      <w:proofErr w:type="spellEnd"/>
      <w:r>
        <w:t xml:space="preserve"> (light orange: Arizona isolate; dark orange: Indiana isolate) and </w:t>
      </w:r>
      <w:r w:rsidRPr="00624230">
        <w:rPr>
          <w:i/>
        </w:rPr>
        <w:t>E. infrequens</w:t>
      </w:r>
      <w:r>
        <w:t xml:space="preserve"> (light blue: Arizona isolate; medium blue: California isolate; dark blue: Indiana isolate) that group most centrally in the MDS visualization (Fig. S1) form a clade on the gene tree (referred to here as ‘Gene history 1’; Fig. 2E top). Sequences from </w:t>
      </w:r>
      <w:r w:rsidRPr="00624230">
        <w:rPr>
          <w:i/>
        </w:rPr>
        <w:t xml:space="preserve">C. </w:t>
      </w:r>
      <w:proofErr w:type="spellStart"/>
      <w:r w:rsidRPr="00624230">
        <w:rPr>
          <w:i/>
        </w:rPr>
        <w:t>claroideum</w:t>
      </w:r>
      <w:proofErr w:type="spellEnd"/>
      <w:r>
        <w:t xml:space="preserve"> (excluding the Arizona isolate) and </w:t>
      </w:r>
      <w:r w:rsidRPr="00624230">
        <w:rPr>
          <w:i/>
        </w:rPr>
        <w:t>E. infrequens</w:t>
      </w:r>
      <w:r>
        <w:t xml:space="preserve"> that are more peripheral in the MDS visualization (Fig. S1) also branch basally on the gene tree (referred to here as ‘Gene history 2’; Fig. 2E bottom). The checkerboard pattern in the </w:t>
      </w:r>
      <w:proofErr w:type="spellStart"/>
      <w:r>
        <w:t>heatmap</w:t>
      </w:r>
      <w:proofErr w:type="spellEnd"/>
      <w:r>
        <w:t xml:space="preserve"> of pairwise sequence divergence for these two species indicates sequences from the same gene history are more similar to each other than to sequences from the alternate gene history regardless of the geographic isolate in which they are found (Fig. 2F). In this group there is also more sequence homogeneity within species, geographic isolate, or gene history compared to within species in the </w:t>
      </w:r>
      <w:proofErr w:type="spellStart"/>
      <w:r>
        <w:t>Gigasporaceae</w:t>
      </w:r>
      <w:proofErr w:type="spellEnd"/>
      <w:r>
        <w:t xml:space="preserve"> or </w:t>
      </w:r>
      <w:r>
        <w:rPr>
          <w:i/>
        </w:rPr>
        <w:t xml:space="preserve">Rhizophagus </w:t>
      </w:r>
      <w:r>
        <w:t xml:space="preserve">as indicated by more solid blocks of color in the </w:t>
      </w:r>
      <w:proofErr w:type="spellStart"/>
      <w:r>
        <w:t>heatmap</w:t>
      </w:r>
      <w:proofErr w:type="spellEnd"/>
      <w:r>
        <w:t xml:space="preserve"> (Fig. 2B, D, and F). Interestingly, sequences from </w:t>
      </w:r>
      <w:r w:rsidRPr="00624230">
        <w:rPr>
          <w:i/>
        </w:rPr>
        <w:t xml:space="preserve">E. infrequens </w:t>
      </w:r>
      <w:r>
        <w:t xml:space="preserve">consistently shared a single nucleotide polymorphism (SNP) compared to </w:t>
      </w:r>
      <w:r w:rsidRPr="00624230">
        <w:rPr>
          <w:i/>
        </w:rPr>
        <w:t xml:space="preserve">C. </w:t>
      </w:r>
      <w:proofErr w:type="spellStart"/>
      <w:r w:rsidRPr="00624230">
        <w:rPr>
          <w:i/>
        </w:rPr>
        <w:t>claroideum</w:t>
      </w:r>
      <w:proofErr w:type="spellEnd"/>
      <w:r>
        <w:t xml:space="preserve"> across all gene histories and geographic isolates. </w:t>
      </w:r>
    </w:p>
    <w:p w14:paraId="77DDF4F3" w14:textId="77777777" w:rsidR="00874649" w:rsidRDefault="00874649" w:rsidP="00874649">
      <w:pPr>
        <w:spacing w:line="480" w:lineRule="auto"/>
      </w:pPr>
      <w:r w:rsidRPr="005324E9">
        <w:rPr>
          <w:i/>
        </w:rPr>
        <w:t xml:space="preserve">Distribution of </w:t>
      </w:r>
      <w:proofErr w:type="spellStart"/>
      <w:r w:rsidRPr="005324E9">
        <w:rPr>
          <w:i/>
        </w:rPr>
        <w:t>rRNA</w:t>
      </w:r>
      <w:proofErr w:type="spellEnd"/>
      <w:r w:rsidRPr="005324E9">
        <w:rPr>
          <w:i/>
        </w:rPr>
        <w:t xml:space="preserve"> sequence variation across</w:t>
      </w:r>
      <w:r>
        <w:rPr>
          <w:i/>
        </w:rPr>
        <w:t xml:space="preserve"> the </w:t>
      </w:r>
      <w:r w:rsidRPr="005324E9">
        <w:rPr>
          <w:i/>
        </w:rPr>
        <w:t>phylogeny</w:t>
      </w:r>
    </w:p>
    <w:p w14:paraId="190B1214" w14:textId="77777777" w:rsidR="00874649" w:rsidRDefault="00874649" w:rsidP="00874649">
      <w:pPr>
        <w:spacing w:line="480" w:lineRule="auto"/>
        <w:ind w:firstLine="360"/>
      </w:pPr>
      <w:r>
        <w:t>There were substantial differences in nucleotide diversity (</w:t>
      </w:r>
      <w:r w:rsidRPr="00E17C13">
        <w:t>π</w:t>
      </w:r>
      <w:r>
        <w:t xml:space="preserve">) for species across the AM fungal phylogeny (Fig. 3), and those differences were correlated with observed rarefied OTU richness </w:t>
      </w:r>
      <w:r w:rsidRPr="00C43F8A">
        <w:t>(number of OTUs)</w:t>
      </w:r>
      <w:r>
        <w:t xml:space="preserve"> and OTU diversity (equality of sequence numbers among OTUs) (Fig. S2). The phylogenetic patterns in OTU characteristics were usually consistent regardless of clustering method, although </w:t>
      </w:r>
      <w:proofErr w:type="spellStart"/>
      <w:r>
        <w:t>AbundantOTU</w:t>
      </w:r>
      <w:proofErr w:type="spellEnd"/>
      <w:r>
        <w:t xml:space="preserve"> and CROP generally gave significantly lower values of both rarefied </w:t>
      </w:r>
      <w:r w:rsidRPr="00C43F8A">
        <w:t xml:space="preserve">OTU richness </w:t>
      </w:r>
      <w:r>
        <w:t>(F</w:t>
      </w:r>
      <w:r>
        <w:rPr>
          <w:vertAlign w:val="subscript"/>
        </w:rPr>
        <w:t>3</w:t>
      </w:r>
      <w:proofErr w:type="gramStart"/>
      <w:r>
        <w:rPr>
          <w:vertAlign w:val="subscript"/>
        </w:rPr>
        <w:t>,204</w:t>
      </w:r>
      <w:proofErr w:type="gramEnd"/>
      <w:r>
        <w:t xml:space="preserve"> = 10.61, </w:t>
      </w:r>
      <w:r>
        <w:rPr>
          <w:i/>
        </w:rPr>
        <w:t>p</w:t>
      </w:r>
      <w:r>
        <w:t xml:space="preserve"> &lt; 0.0001)</w:t>
      </w:r>
      <w:r w:rsidRPr="00C43F8A">
        <w:t xml:space="preserve"> </w:t>
      </w:r>
      <w:r>
        <w:t>and OTU diversity (F</w:t>
      </w:r>
      <w:r>
        <w:rPr>
          <w:vertAlign w:val="subscript"/>
        </w:rPr>
        <w:t>3,204</w:t>
      </w:r>
      <w:r>
        <w:t xml:space="preserve"> = 8.03, </w:t>
      </w:r>
      <w:r>
        <w:rPr>
          <w:i/>
        </w:rPr>
        <w:t>p</w:t>
      </w:r>
      <w:r>
        <w:t xml:space="preserve"> &lt; 0.0001)</w:t>
      </w:r>
      <w:r w:rsidDel="00985C46">
        <w:t xml:space="preserve"> </w:t>
      </w:r>
      <w:r>
        <w:t xml:space="preserve">per species compared to </w:t>
      </w:r>
      <w:proofErr w:type="spellStart"/>
      <w:r>
        <w:t>mothur</w:t>
      </w:r>
      <w:proofErr w:type="spellEnd"/>
      <w:r>
        <w:t xml:space="preserve"> or UPARSE, except for the comparison between </w:t>
      </w:r>
      <w:proofErr w:type="spellStart"/>
      <w:r>
        <w:t>AbundantOTU</w:t>
      </w:r>
      <w:proofErr w:type="spellEnd"/>
      <w:r>
        <w:t xml:space="preserve"> and UPARSE for OTU richness (</w:t>
      </w:r>
      <w:proofErr w:type="spellStart"/>
      <w:r>
        <w:t>Tukey’s</w:t>
      </w:r>
      <w:proofErr w:type="spellEnd"/>
      <w:r>
        <w:t xml:space="preserve"> HSD </w:t>
      </w:r>
      <w:r>
        <w:rPr>
          <w:i/>
        </w:rPr>
        <w:t>p</w:t>
      </w:r>
      <w:r>
        <w:t xml:space="preserve"> = 0.21).</w:t>
      </w:r>
    </w:p>
    <w:p w14:paraId="58C15039" w14:textId="77777777" w:rsidR="00874649" w:rsidRDefault="00874649" w:rsidP="00874649">
      <w:pPr>
        <w:spacing w:line="480" w:lineRule="auto"/>
        <w:ind w:firstLine="360"/>
        <w:rPr>
          <w:i/>
        </w:rPr>
      </w:pPr>
      <w:r>
        <w:t>A</w:t>
      </w:r>
      <w:r w:rsidRPr="00B134B5">
        <w:t xml:space="preserve"> </w:t>
      </w:r>
      <w:r>
        <w:t xml:space="preserve">large and statistically </w:t>
      </w:r>
      <w:r w:rsidRPr="00B134B5">
        <w:t>significan</w:t>
      </w:r>
      <w:r>
        <w:t>t amount of the variance in</w:t>
      </w:r>
      <w:r w:rsidRPr="00B134B5">
        <w:t xml:space="preserve"> </w:t>
      </w:r>
      <w:r>
        <w:t xml:space="preserve">both nucleotide diversity and rarified </w:t>
      </w:r>
      <w:r w:rsidRPr="00B134B5">
        <w:t>OTU richness</w:t>
      </w:r>
      <w:r>
        <w:t xml:space="preserve"> was explained by genus regardless of clustering method used (Table 1). However genus only explained a significant amount of the variance in OTU diversity when the sequences were clustered with </w:t>
      </w:r>
      <w:proofErr w:type="spellStart"/>
      <w:r>
        <w:t>AbundantOTU</w:t>
      </w:r>
      <w:proofErr w:type="spellEnd"/>
      <w:r>
        <w:t xml:space="preserve"> or </w:t>
      </w:r>
      <w:proofErr w:type="spellStart"/>
      <w:r>
        <w:t>mothur</w:t>
      </w:r>
      <w:proofErr w:type="spellEnd"/>
      <w:r>
        <w:t xml:space="preserve"> (Table S1). A significant though small proportion of the total variance </w:t>
      </w:r>
      <w:r w:rsidRPr="00E17C13">
        <w:t xml:space="preserve">in OTU richness and </w:t>
      </w:r>
      <w:r>
        <w:t>diversity</w:t>
      </w:r>
      <w:r w:rsidRPr="00E17C13">
        <w:t xml:space="preserve"> </w:t>
      </w:r>
      <w:r>
        <w:t xml:space="preserve">was explained by phylogeny regardless of </w:t>
      </w:r>
      <w:r w:rsidRPr="00876BA2">
        <w:t>clustering method</w:t>
      </w:r>
      <w:r>
        <w:t xml:space="preserve">, but this was not the case for nucleotide diversity </w:t>
      </w:r>
      <w:r w:rsidRPr="00876BA2">
        <w:t>(Table 1</w:t>
      </w:r>
      <w:r>
        <w:t xml:space="preserve"> and S1</w:t>
      </w:r>
      <w:r w:rsidRPr="00876BA2">
        <w:t>).</w:t>
      </w:r>
    </w:p>
    <w:p w14:paraId="0B2F7513" w14:textId="77777777" w:rsidR="00874649" w:rsidRDefault="00874649" w:rsidP="00874649">
      <w:pPr>
        <w:spacing w:line="480" w:lineRule="auto"/>
        <w:rPr>
          <w:i/>
        </w:rPr>
      </w:pPr>
      <w:r>
        <w:rPr>
          <w:i/>
        </w:rPr>
        <w:t>Comparison of clustering methods</w:t>
      </w:r>
    </w:p>
    <w:p w14:paraId="36AB0FA0" w14:textId="77777777" w:rsidR="00874649" w:rsidRDefault="00874649" w:rsidP="00874649">
      <w:pPr>
        <w:spacing w:line="480" w:lineRule="auto"/>
        <w:ind w:firstLine="360"/>
      </w:pPr>
      <w:r>
        <w:t xml:space="preserve">Although sequences from each species in the </w:t>
      </w:r>
      <w:proofErr w:type="spellStart"/>
      <w:r>
        <w:t>Gigasporaceae</w:t>
      </w:r>
      <w:proofErr w:type="spellEnd"/>
      <w:r>
        <w:t xml:space="preserve"> and </w:t>
      </w:r>
      <w:r>
        <w:rPr>
          <w:i/>
        </w:rPr>
        <w:t>Rhizophagus</w:t>
      </w:r>
      <w:r>
        <w:t xml:space="preserve"> generally grouped separately in the MDS visualization (Fig. 4A and F), the increased intraspecific variation in </w:t>
      </w:r>
      <w:r>
        <w:rPr>
          <w:i/>
        </w:rPr>
        <w:t>Rhizophagus</w:t>
      </w:r>
      <w:r>
        <w:t xml:space="preserve"> (Fig. 2D) is evident in the wider spread of sequences from each species. For these groups, none of the four sequence clustering methods consistently gave a single OTU for each AM fungal species (Fig. 4). We observed both ways in which OTUs can fail to correspond to species-level groups of sequences: 1) Sequences from a single species were split into multiple OTUs, particularly for the three </w:t>
      </w:r>
      <w:r>
        <w:rPr>
          <w:i/>
        </w:rPr>
        <w:t>Rhizophagus</w:t>
      </w:r>
      <w:r>
        <w:t xml:space="preserve"> species (Fig. 4 F-J), and 2) sequences from two different species were combined into a single OTU, especially for sequences from </w:t>
      </w:r>
      <w:r>
        <w:rPr>
          <w:i/>
        </w:rPr>
        <w:t xml:space="preserve">D. </w:t>
      </w:r>
      <w:proofErr w:type="spellStart"/>
      <w:r>
        <w:rPr>
          <w:i/>
        </w:rPr>
        <w:t>erythropus</w:t>
      </w:r>
      <w:proofErr w:type="spellEnd"/>
      <w:r>
        <w:t xml:space="preserve"> and </w:t>
      </w:r>
      <w:r>
        <w:rPr>
          <w:i/>
        </w:rPr>
        <w:t xml:space="preserve">D. </w:t>
      </w:r>
      <w:proofErr w:type="spellStart"/>
      <w:r>
        <w:rPr>
          <w:i/>
        </w:rPr>
        <w:t>heterogama</w:t>
      </w:r>
      <w:proofErr w:type="spellEnd"/>
      <w:r>
        <w:t xml:space="preserve"> in the </w:t>
      </w:r>
      <w:proofErr w:type="spellStart"/>
      <w:r w:rsidRPr="00D73FB2">
        <w:t>Gigasporaceae</w:t>
      </w:r>
      <w:proofErr w:type="spellEnd"/>
      <w:r>
        <w:t xml:space="preserve">, colored orange and red respectively (Fig. 4A) that were assigned to the same OTU by </w:t>
      </w:r>
      <w:proofErr w:type="spellStart"/>
      <w:r>
        <w:t>AbundantOTU</w:t>
      </w:r>
      <w:proofErr w:type="spellEnd"/>
      <w:r>
        <w:t xml:space="preserve"> and CROP (Fig. 4B and C). OTUs that lumped sequences from different species together also occurred in the </w:t>
      </w:r>
      <w:r>
        <w:rPr>
          <w:i/>
        </w:rPr>
        <w:t>Claroideoglomus</w:t>
      </w:r>
      <w:r>
        <w:t>/</w:t>
      </w:r>
      <w:r>
        <w:rPr>
          <w:i/>
        </w:rPr>
        <w:t>Entrophospora</w:t>
      </w:r>
      <w:r>
        <w:t xml:space="preserve"> group (Fig. </w:t>
      </w:r>
      <w:proofErr w:type="gramStart"/>
      <w:r>
        <w:t xml:space="preserve">S1) as expected given that </w:t>
      </w:r>
      <w:proofErr w:type="spellStart"/>
      <w:r>
        <w:t>rRNA</w:t>
      </w:r>
      <w:proofErr w:type="spellEnd"/>
      <w:r>
        <w:t xml:space="preserve"> sequences in these species are not monophyletic (Fig. 2E).</w:t>
      </w:r>
      <w:proofErr w:type="gramEnd"/>
    </w:p>
    <w:p w14:paraId="5B835007" w14:textId="77777777" w:rsidR="00874649" w:rsidRDefault="00874649" w:rsidP="00874649">
      <w:pPr>
        <w:spacing w:line="480" w:lineRule="auto"/>
        <w:ind w:firstLine="360"/>
      </w:pPr>
      <w:r>
        <w:t xml:space="preserve">Generally, we found closer visual correspondence between OTU delineations (Fig. 4B-E and G-J) and species boundaries (Fig. 4A and F) in the </w:t>
      </w:r>
      <w:proofErr w:type="spellStart"/>
      <w:r>
        <w:t>Gigasporaceae</w:t>
      </w:r>
      <w:proofErr w:type="spellEnd"/>
      <w:r>
        <w:t xml:space="preserve"> than in </w:t>
      </w:r>
      <w:r w:rsidRPr="00245305">
        <w:rPr>
          <w:i/>
        </w:rPr>
        <w:t>Rhizophagus</w:t>
      </w:r>
      <w:r>
        <w:t xml:space="preserve">, and this was corroborated by the adjusted Rand index of clustering fit for each clustering method being substantially higher for the </w:t>
      </w:r>
      <w:proofErr w:type="spellStart"/>
      <w:r w:rsidRPr="00D73FB2">
        <w:t>Gigasporaceae</w:t>
      </w:r>
      <w:proofErr w:type="spellEnd"/>
      <w:r>
        <w:t xml:space="preserve"> than for </w:t>
      </w:r>
      <w:r>
        <w:rPr>
          <w:i/>
        </w:rPr>
        <w:t>Rhizophagus</w:t>
      </w:r>
      <w:r>
        <w:t xml:space="preserve"> (Fig. 4). </w:t>
      </w:r>
      <w:proofErr w:type="spellStart"/>
      <w:r>
        <w:t>AbundantOTU</w:t>
      </w:r>
      <w:proofErr w:type="spellEnd"/>
      <w:r>
        <w:t xml:space="preserve"> and CROP each gave similar correspondence between OTUs and species boundaries, and both clustering methods were more accurate compared to either </w:t>
      </w:r>
      <w:proofErr w:type="spellStart"/>
      <w:r>
        <w:t>mothur</w:t>
      </w:r>
      <w:proofErr w:type="spellEnd"/>
      <w:r>
        <w:t xml:space="preserve"> or UPARSE for both AM fungal groups (Fig. 4). </w:t>
      </w:r>
    </w:p>
    <w:p w14:paraId="57A213C1" w14:textId="77777777" w:rsidR="00874649" w:rsidRP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rPr>
          <w:b/>
        </w:rPr>
      </w:pPr>
      <w:r w:rsidRPr="00874649">
        <w:rPr>
          <w:b/>
        </w:rPr>
        <w:t>Discussion</w:t>
      </w:r>
    </w:p>
    <w:p w14:paraId="7FDCAC93" w14:textId="77777777" w:rsidR="00874649" w:rsidRPr="0006015A" w:rsidRDefault="00874649" w:rsidP="00874649">
      <w:pPr>
        <w:spacing w:line="480" w:lineRule="auto"/>
        <w:rPr>
          <w:i/>
        </w:rPr>
      </w:pPr>
      <w:r>
        <w:rPr>
          <w:i/>
        </w:rPr>
        <w:t>Sequence variation in AM fungi is generally monophyletic</w:t>
      </w:r>
      <w:r w:rsidRPr="00616678">
        <w:rPr>
          <w:i/>
        </w:rPr>
        <w:t xml:space="preserve">  </w:t>
      </w:r>
    </w:p>
    <w:p w14:paraId="4FD57EF5" w14:textId="77777777" w:rsidR="00874649" w:rsidRDefault="00874649" w:rsidP="00874649">
      <w:pPr>
        <w:spacing w:line="480" w:lineRule="auto"/>
      </w:pPr>
      <w:r>
        <w:rPr>
          <w:i/>
        </w:rPr>
        <w:tab/>
      </w:r>
      <w:r>
        <w:t xml:space="preserve">The novel use of MDS to visualize sequence differences in large datasets from multiple species allows visual comparisons to be made between the range of sequence variation and both projected phylogenies and OTU delineations determined using various sequence clustering methods. Our gene tree, made using a large amount of the sequence variation contained in the 21 species we surveyed (Fig. 1A), generally agreed with the current consensus genus-level phylogeny of AM fungi </w:t>
      </w:r>
      <w:r>
        <w:rPr>
          <w:noProof/>
        </w:rPr>
        <w:t>(14)</w:t>
      </w:r>
      <w:r>
        <w:t xml:space="preserve"> and the most current AM fungal </w:t>
      </w:r>
      <w:proofErr w:type="spellStart"/>
      <w:r>
        <w:t>rRNA</w:t>
      </w:r>
      <w:proofErr w:type="spellEnd"/>
      <w:r>
        <w:t xml:space="preserve"> gene tree </w:t>
      </w:r>
      <w:r>
        <w:rPr>
          <w:noProof/>
        </w:rPr>
        <w:t>(18)</w:t>
      </w:r>
      <w:r>
        <w:t>.</w:t>
      </w:r>
      <w:r w:rsidRPr="00E511ED">
        <w:t xml:space="preserve"> </w:t>
      </w:r>
      <w:r>
        <w:t xml:space="preserve">Furthermore, the overall concordance between our AM fungal </w:t>
      </w:r>
      <w:proofErr w:type="spellStart"/>
      <w:r>
        <w:t>rRNA</w:t>
      </w:r>
      <w:proofErr w:type="spellEnd"/>
      <w:r>
        <w:t xml:space="preserve"> gene tree and the MDS visualization of all sequences (Fig. 1B) is consistent with the fact that sequence variation within both species and genera is generally monophyletic</w:t>
      </w:r>
      <w:r w:rsidRPr="00FA0801">
        <w:t xml:space="preserve"> regardless of the </w:t>
      </w:r>
      <w:r>
        <w:t>magnitude of that variation</w:t>
      </w:r>
      <w:r w:rsidRPr="00FA0801">
        <w:t xml:space="preserve"> (</w:t>
      </w:r>
      <w:r>
        <w:t>Fig.</w:t>
      </w:r>
      <w:r w:rsidRPr="00FA0801">
        <w:t xml:space="preserve"> 2A-F).</w:t>
      </w:r>
      <w:r>
        <w:t xml:space="preserve"> The notable exception to this general agreement between the MDS visualization and the phylogeny is the </w:t>
      </w:r>
      <w:r w:rsidRPr="00E17C13">
        <w:rPr>
          <w:i/>
        </w:rPr>
        <w:t>Claroideoglomus</w:t>
      </w:r>
      <w:r>
        <w:t>/</w:t>
      </w:r>
      <w:r w:rsidRPr="00E17C13">
        <w:rPr>
          <w:i/>
        </w:rPr>
        <w:t>Entrophospora</w:t>
      </w:r>
      <w:r>
        <w:t xml:space="preserve"> clade.</w:t>
      </w:r>
    </w:p>
    <w:p w14:paraId="4C746B13" w14:textId="77777777" w:rsidR="00874649" w:rsidRDefault="00874649" w:rsidP="00874649">
      <w:pPr>
        <w:spacing w:line="480" w:lineRule="auto"/>
      </w:pPr>
      <w:r w:rsidRPr="00616678">
        <w:rPr>
          <w:i/>
        </w:rPr>
        <w:t>Claroide</w:t>
      </w:r>
      <w:r>
        <w:rPr>
          <w:i/>
        </w:rPr>
        <w:t>o</w:t>
      </w:r>
      <w:r w:rsidRPr="00616678">
        <w:rPr>
          <w:i/>
        </w:rPr>
        <w:t>glom</w:t>
      </w:r>
      <w:r>
        <w:rPr>
          <w:i/>
        </w:rPr>
        <w:t>us</w:t>
      </w:r>
      <w:r w:rsidRPr="00616678">
        <w:rPr>
          <w:i/>
        </w:rPr>
        <w:t xml:space="preserve"> and Entropho</w:t>
      </w:r>
      <w:r>
        <w:rPr>
          <w:i/>
        </w:rPr>
        <w:t>s</w:t>
      </w:r>
      <w:r w:rsidRPr="00616678">
        <w:rPr>
          <w:i/>
        </w:rPr>
        <w:t xml:space="preserve">pora </w:t>
      </w:r>
      <w:r>
        <w:rPr>
          <w:i/>
        </w:rPr>
        <w:t>form</w:t>
      </w:r>
      <w:r w:rsidRPr="00616678">
        <w:rPr>
          <w:i/>
        </w:rPr>
        <w:t xml:space="preserve"> one group</w:t>
      </w:r>
      <w:r>
        <w:rPr>
          <w:i/>
        </w:rPr>
        <w:t xml:space="preserve"> that contains incomplete lineage sorting of </w:t>
      </w:r>
      <w:proofErr w:type="spellStart"/>
      <w:r>
        <w:rPr>
          <w:i/>
        </w:rPr>
        <w:t>rRNA</w:t>
      </w:r>
      <w:proofErr w:type="spellEnd"/>
      <w:r>
        <w:rPr>
          <w:i/>
        </w:rPr>
        <w:t xml:space="preserve"> gene sequence variation</w:t>
      </w:r>
    </w:p>
    <w:p w14:paraId="293C8B39" w14:textId="77777777" w:rsidR="00874649" w:rsidRDefault="00874649" w:rsidP="00874649">
      <w:pPr>
        <w:spacing w:line="480" w:lineRule="auto"/>
        <w:ind w:firstLine="360"/>
      </w:pPr>
      <w:r>
        <w:t xml:space="preserve">Sequences from species in both </w:t>
      </w:r>
      <w:r w:rsidRPr="00616678">
        <w:rPr>
          <w:i/>
        </w:rPr>
        <w:t>Claroide</w:t>
      </w:r>
      <w:r>
        <w:rPr>
          <w:i/>
        </w:rPr>
        <w:t>o</w:t>
      </w:r>
      <w:r w:rsidRPr="00616678">
        <w:rPr>
          <w:i/>
        </w:rPr>
        <w:t>glom</w:t>
      </w:r>
      <w:r>
        <w:rPr>
          <w:i/>
        </w:rPr>
        <w:t>us</w:t>
      </w:r>
      <w:r w:rsidRPr="00616678">
        <w:rPr>
          <w:i/>
        </w:rPr>
        <w:t xml:space="preserve"> </w:t>
      </w:r>
      <w:r w:rsidRPr="00E17C13">
        <w:t>and</w:t>
      </w:r>
      <w:r>
        <w:rPr>
          <w:i/>
        </w:rPr>
        <w:t xml:space="preserve"> Entrophos</w:t>
      </w:r>
      <w:r w:rsidRPr="00616678">
        <w:rPr>
          <w:i/>
        </w:rPr>
        <w:t>pora</w:t>
      </w:r>
      <w:r>
        <w:t xml:space="preserve"> did not correspond to separate clades on the gene tree, and because of this we identify both genera as a single group. Species within this group</w:t>
      </w:r>
      <w:r w:rsidRPr="00C43F8A">
        <w:t xml:space="preserve"> are morphologically</w:t>
      </w:r>
      <w:r>
        <w:t xml:space="preserve"> well defined.</w:t>
      </w:r>
      <w:r w:rsidRPr="00C43F8A">
        <w:t xml:space="preserve"> </w:t>
      </w:r>
      <w:r>
        <w:t xml:space="preserve">For example, asexually produced spores of </w:t>
      </w:r>
      <w:r w:rsidRPr="00CF70A7">
        <w:rPr>
          <w:i/>
        </w:rPr>
        <w:t>E. infrequens</w:t>
      </w:r>
      <w:r>
        <w:rPr>
          <w:i/>
        </w:rPr>
        <w:t xml:space="preserve"> </w:t>
      </w:r>
      <w:r>
        <w:t>have a different developmental sequence and a unique wall structure</w:t>
      </w:r>
      <w:r w:rsidRPr="00C43F8A">
        <w:t xml:space="preserve"> compared to </w:t>
      </w:r>
      <w:r>
        <w:t xml:space="preserve">spores from </w:t>
      </w:r>
      <w:r>
        <w:rPr>
          <w:i/>
        </w:rPr>
        <w:t>Claroideoglomus</w:t>
      </w:r>
      <w:r>
        <w:t xml:space="preserve"> </w:t>
      </w:r>
      <w:r w:rsidRPr="00C43F8A">
        <w:t>species</w:t>
      </w:r>
      <w:r>
        <w:t>. However, species</w:t>
      </w:r>
      <w:r w:rsidRPr="00C43F8A">
        <w:t xml:space="preserve"> </w:t>
      </w:r>
      <w:r>
        <w:t xml:space="preserve">in this group </w:t>
      </w:r>
      <w:r w:rsidRPr="00C43F8A">
        <w:t>show little genetic</w:t>
      </w:r>
      <w:r>
        <w:t xml:space="preserve"> differentiation over</w:t>
      </w:r>
      <w:r w:rsidRPr="00C43F8A">
        <w:t xml:space="preserve"> the </w:t>
      </w:r>
      <w:r>
        <w:t xml:space="preserve">portion of the LSU </w:t>
      </w:r>
      <w:proofErr w:type="spellStart"/>
      <w:r>
        <w:t>rRNA</w:t>
      </w:r>
      <w:proofErr w:type="spellEnd"/>
      <w:r>
        <w:t xml:space="preserve"> gene </w:t>
      </w:r>
      <w:r w:rsidRPr="00C43F8A">
        <w:t>used here</w:t>
      </w:r>
      <w:r>
        <w:t xml:space="preserve"> (Fig. 2E and F), and there is less background variation within species compared to the </w:t>
      </w:r>
      <w:proofErr w:type="spellStart"/>
      <w:r>
        <w:t>Gigasporaceae</w:t>
      </w:r>
      <w:proofErr w:type="spellEnd"/>
      <w:r>
        <w:t xml:space="preserve"> or </w:t>
      </w:r>
      <w:r>
        <w:rPr>
          <w:i/>
        </w:rPr>
        <w:t>Rhizophagus</w:t>
      </w:r>
      <w:r>
        <w:t xml:space="preserve"> (Fig. 2B,D, and F)</w:t>
      </w:r>
      <w:r w:rsidRPr="00C43F8A">
        <w:t xml:space="preserve">. Previous studies have </w:t>
      </w:r>
      <w:r>
        <w:t xml:space="preserve">also </w:t>
      </w:r>
      <w:r w:rsidRPr="00C43F8A">
        <w:t xml:space="preserve">documented a lack of genetic distinction between </w:t>
      </w:r>
      <w:r w:rsidRPr="00CF70A7">
        <w:rPr>
          <w:i/>
        </w:rPr>
        <w:t>Claroideoglomus</w:t>
      </w:r>
      <w:r w:rsidRPr="00DA4DF8">
        <w:t xml:space="preserve"> </w:t>
      </w:r>
      <w:r>
        <w:t xml:space="preserve">species </w:t>
      </w:r>
      <w:r>
        <w:rPr>
          <w:noProof/>
        </w:rPr>
        <w:t>(28, 29)</w:t>
      </w:r>
      <w:r w:rsidRPr="00C43F8A">
        <w:t xml:space="preserve">, but have not included </w:t>
      </w:r>
      <w:r w:rsidRPr="00CF70A7">
        <w:rPr>
          <w:i/>
        </w:rPr>
        <w:t>E</w:t>
      </w:r>
      <w:r>
        <w:rPr>
          <w:i/>
        </w:rPr>
        <w:t>.</w:t>
      </w:r>
      <w:r w:rsidRPr="00CF70A7">
        <w:rPr>
          <w:i/>
        </w:rPr>
        <w:t xml:space="preserve"> </w:t>
      </w:r>
      <w:r>
        <w:rPr>
          <w:i/>
        </w:rPr>
        <w:t xml:space="preserve">infrequens </w:t>
      </w:r>
      <w:r w:rsidRPr="00C43F8A">
        <w:t>in their analysis</w:t>
      </w:r>
      <w:r w:rsidRPr="00CF70A7">
        <w:rPr>
          <w:i/>
        </w:rPr>
        <w:t xml:space="preserve">, </w:t>
      </w:r>
      <w:r w:rsidRPr="00C43F8A">
        <w:t>nor has the most comprehensive phylogeny of AM fungi published to</w:t>
      </w:r>
      <w:r>
        <w:t>-</w:t>
      </w:r>
      <w:r w:rsidRPr="00C43F8A">
        <w:t>date</w:t>
      </w:r>
      <w:r>
        <w:t xml:space="preserve"> </w:t>
      </w:r>
      <w:r>
        <w:rPr>
          <w:noProof/>
        </w:rPr>
        <w:t>(18)</w:t>
      </w:r>
      <w:r w:rsidRPr="00C43F8A">
        <w:t xml:space="preserve">. </w:t>
      </w:r>
      <w:r>
        <w:t xml:space="preserve">Within </w:t>
      </w:r>
      <w:r>
        <w:rPr>
          <w:i/>
        </w:rPr>
        <w:t xml:space="preserve">Claroideoglomus </w:t>
      </w:r>
      <w:r>
        <w:t>species, previous work has also demonstrated the presence of two evolutionary lineages</w:t>
      </w:r>
      <w:r w:rsidRPr="00C43F8A">
        <w:t xml:space="preserve"> </w:t>
      </w:r>
      <w:r>
        <w:t xml:space="preserve">in </w:t>
      </w:r>
      <w:proofErr w:type="spellStart"/>
      <w:r>
        <w:t>rRNA</w:t>
      </w:r>
      <w:proofErr w:type="spellEnd"/>
      <w:r>
        <w:t xml:space="preserve"> gene sequences (‘L’ and ‘S’ variants) </w:t>
      </w:r>
      <w:r>
        <w:rPr>
          <w:noProof/>
        </w:rPr>
        <w:t>(29)</w:t>
      </w:r>
      <w:r>
        <w:t>. The</w:t>
      </w:r>
      <w:r w:rsidRPr="00C43F8A">
        <w:t xml:space="preserve"> </w:t>
      </w:r>
      <w:r>
        <w:t>PCR primer set used in</w:t>
      </w:r>
      <w:r w:rsidRPr="00C43F8A">
        <w:t xml:space="preserve"> this study only amplif</w:t>
      </w:r>
      <w:r>
        <w:t>ied</w:t>
      </w:r>
      <w:r w:rsidRPr="00C43F8A">
        <w:t xml:space="preserve"> </w:t>
      </w:r>
      <w:r>
        <w:t>the ‘L’ sequence variants due to primer site mismatches with ‘S’ variants</w:t>
      </w:r>
      <w:r w:rsidRPr="00C43F8A">
        <w:t xml:space="preserve">. </w:t>
      </w:r>
      <w:r>
        <w:t xml:space="preserve">Most ‘L’ variant sequences from (29) represent ‘Gene history 1’, but 9% (17 of 195) of sequences represent ‘Gene history 2’, including five sequences from </w:t>
      </w:r>
      <w:r>
        <w:rPr>
          <w:i/>
        </w:rPr>
        <w:t xml:space="preserve">C. </w:t>
      </w:r>
      <w:proofErr w:type="spellStart"/>
      <w:r>
        <w:rPr>
          <w:i/>
        </w:rPr>
        <w:t>luteum</w:t>
      </w:r>
      <w:proofErr w:type="spellEnd"/>
      <w:r>
        <w:t xml:space="preserve">, suggesting this species is subject to the same incomplete lineage sorting of sequence variants that we observed for </w:t>
      </w:r>
      <w:r w:rsidRPr="00CF70A7">
        <w:rPr>
          <w:i/>
        </w:rPr>
        <w:t xml:space="preserve">E. infrequens </w:t>
      </w:r>
      <w:r w:rsidRPr="00C43F8A">
        <w:t xml:space="preserve">and </w:t>
      </w:r>
      <w:r w:rsidRPr="00CF70A7">
        <w:rPr>
          <w:i/>
        </w:rPr>
        <w:t xml:space="preserve">C. </w:t>
      </w:r>
      <w:proofErr w:type="spellStart"/>
      <w:r w:rsidRPr="00CF70A7">
        <w:rPr>
          <w:i/>
        </w:rPr>
        <w:t>claroideum</w:t>
      </w:r>
      <w:proofErr w:type="spellEnd"/>
      <w:r>
        <w:t xml:space="preserve"> (Fig. 2E and S1).</w:t>
      </w:r>
      <w:r w:rsidRPr="00DA4DF8">
        <w:t xml:space="preserve"> </w:t>
      </w:r>
      <w:r>
        <w:t>The stronger similarity of sequences from each gene history</w:t>
      </w:r>
      <w:r w:rsidRPr="00CF70A7">
        <w:rPr>
          <w:i/>
        </w:rPr>
        <w:t xml:space="preserve"> </w:t>
      </w:r>
      <w:r>
        <w:t xml:space="preserve">in </w:t>
      </w:r>
      <w:r w:rsidRPr="00CF70A7">
        <w:rPr>
          <w:i/>
        </w:rPr>
        <w:t xml:space="preserve">E. infrequens </w:t>
      </w:r>
      <w:r w:rsidRPr="00C43F8A">
        <w:t xml:space="preserve">and </w:t>
      </w:r>
      <w:r w:rsidRPr="00CF70A7">
        <w:rPr>
          <w:i/>
        </w:rPr>
        <w:t xml:space="preserve">C. </w:t>
      </w:r>
      <w:proofErr w:type="spellStart"/>
      <w:r w:rsidRPr="00CF70A7">
        <w:rPr>
          <w:i/>
        </w:rPr>
        <w:t>claroideum</w:t>
      </w:r>
      <w:proofErr w:type="spellEnd"/>
      <w:r>
        <w:t xml:space="preserve"> compared to sequences from the same geographic isolate (Fig. 2F) suggests that this pattern of incomplete lineage sorting is due to the stable coexistence of both sequence types in these species. Despite this, </w:t>
      </w:r>
      <w:r w:rsidRPr="00CF70A7">
        <w:rPr>
          <w:i/>
        </w:rPr>
        <w:t>E. infrequens</w:t>
      </w:r>
      <w:r>
        <w:t xml:space="preserve"> is likely to have a </w:t>
      </w:r>
      <w:r w:rsidRPr="00DA4DF8">
        <w:t xml:space="preserve">single origin </w:t>
      </w:r>
      <w:r>
        <w:t xml:space="preserve">as indicated by a SNP that differs from all </w:t>
      </w:r>
      <w:r>
        <w:rPr>
          <w:i/>
        </w:rPr>
        <w:t>Claroideoglomus</w:t>
      </w:r>
      <w:r>
        <w:t xml:space="preserve"> species</w:t>
      </w:r>
      <w:r w:rsidRPr="00DA4DF8">
        <w:t xml:space="preserve"> </w:t>
      </w:r>
      <w:r>
        <w:t xml:space="preserve">in our dataset and all but six sequences of </w:t>
      </w:r>
      <w:r>
        <w:rPr>
          <w:i/>
        </w:rPr>
        <w:t xml:space="preserve">C. </w:t>
      </w:r>
      <w:proofErr w:type="spellStart"/>
      <w:r>
        <w:rPr>
          <w:i/>
        </w:rPr>
        <w:t>etunicatum</w:t>
      </w:r>
      <w:proofErr w:type="spellEnd"/>
      <w:r>
        <w:t xml:space="preserve"> from (29), and this allows its sequences to be differentiated from those of other species in the group.</w:t>
      </w:r>
    </w:p>
    <w:p w14:paraId="12B5E2F3" w14:textId="77777777" w:rsidR="00874649" w:rsidRDefault="00874649" w:rsidP="00874649">
      <w:pPr>
        <w:spacing w:line="480" w:lineRule="auto"/>
      </w:pPr>
      <w:r>
        <w:rPr>
          <w:i/>
        </w:rPr>
        <w:t xml:space="preserve">Sequence </w:t>
      </w:r>
      <w:r w:rsidRPr="005E3F94">
        <w:rPr>
          <w:i/>
        </w:rPr>
        <w:t xml:space="preserve">variation </w:t>
      </w:r>
      <w:r>
        <w:rPr>
          <w:i/>
        </w:rPr>
        <w:t>differs</w:t>
      </w:r>
      <w:r w:rsidRPr="005E3F94">
        <w:rPr>
          <w:i/>
        </w:rPr>
        <w:t xml:space="preserve"> </w:t>
      </w:r>
      <w:r>
        <w:rPr>
          <w:i/>
        </w:rPr>
        <w:t>across</w:t>
      </w:r>
      <w:r w:rsidRPr="005E3F94">
        <w:rPr>
          <w:i/>
        </w:rPr>
        <w:t xml:space="preserve"> genera </w:t>
      </w:r>
      <w:r>
        <w:rPr>
          <w:i/>
        </w:rPr>
        <w:t xml:space="preserve">and the </w:t>
      </w:r>
      <w:r w:rsidRPr="005E3F94">
        <w:rPr>
          <w:i/>
        </w:rPr>
        <w:t>phylogeny</w:t>
      </w:r>
    </w:p>
    <w:p w14:paraId="66D04490" w14:textId="77777777" w:rsidR="00874649" w:rsidRPr="00D73FB2" w:rsidRDefault="00874649" w:rsidP="00874649">
      <w:pPr>
        <w:spacing w:line="480" w:lineRule="auto"/>
        <w:ind w:firstLine="360"/>
        <w:rPr>
          <w:b/>
        </w:rPr>
      </w:pPr>
      <w:r>
        <w:t xml:space="preserve">We find strong evidence that the amount of genetic variation in AM fungi varies at the genus level, as indicated by patterns of nucleotide diversity, OTU richness, and OTU evenness (Fig. 3, Table 1). The fact that </w:t>
      </w:r>
      <w:r w:rsidRPr="00412EFC">
        <w:t>gen</w:t>
      </w:r>
      <w:r>
        <w:t>us account for</w:t>
      </w:r>
      <w:r w:rsidRPr="00412EFC">
        <w:t xml:space="preserve"> more varia</w:t>
      </w:r>
      <w:r>
        <w:t>tion</w:t>
      </w:r>
      <w:r w:rsidRPr="00412EFC">
        <w:t xml:space="preserve"> in </w:t>
      </w:r>
      <w:r>
        <w:t>nucleotide diversity and both of the OTU metrics</w:t>
      </w:r>
      <w:r w:rsidRPr="00412EFC">
        <w:t xml:space="preserve"> than the full structure of the phylogeny is </w:t>
      </w:r>
      <w:r>
        <w:t xml:space="preserve">perhaps surprising, but can be </w:t>
      </w:r>
      <w:r w:rsidRPr="00412EFC">
        <w:t xml:space="preserve">clearly </w:t>
      </w:r>
      <w:r>
        <w:t xml:space="preserve">illustrated </w:t>
      </w:r>
      <w:r w:rsidRPr="00412EFC">
        <w:t>with</w:t>
      </w:r>
      <w:r>
        <w:t xml:space="preserve"> the genus </w:t>
      </w:r>
      <w:r>
        <w:rPr>
          <w:i/>
        </w:rPr>
        <w:t>Rhizophagus</w:t>
      </w:r>
      <w:r>
        <w:t>.</w:t>
      </w:r>
      <w:r w:rsidRPr="00D338E4">
        <w:t xml:space="preserve"> </w:t>
      </w:r>
      <w:r>
        <w:t xml:space="preserve">Species in </w:t>
      </w:r>
      <w:r>
        <w:rPr>
          <w:i/>
        </w:rPr>
        <w:t>Rhizophagus</w:t>
      </w:r>
      <w:r>
        <w:t xml:space="preserve"> </w:t>
      </w:r>
      <w:r w:rsidRPr="00D338E4">
        <w:t xml:space="preserve">have </w:t>
      </w:r>
      <w:r>
        <w:t>high nucleotide diversity,</w:t>
      </w:r>
      <w:r w:rsidRPr="00D338E4">
        <w:t xml:space="preserve"> O</w:t>
      </w:r>
      <w:r w:rsidRPr="008E3F5E">
        <w:t>TU richness</w:t>
      </w:r>
      <w:r>
        <w:t>, and OTU diversity (</w:t>
      </w:r>
      <w:proofErr w:type="spellStart"/>
      <w:r>
        <w:t>Fig.s</w:t>
      </w:r>
      <w:proofErr w:type="spellEnd"/>
      <w:r>
        <w:t xml:space="preserve"> 2, 3), while </w:t>
      </w:r>
      <w:r w:rsidRPr="00412EFC">
        <w:t xml:space="preserve">species from the sister clade of </w:t>
      </w:r>
      <w:proofErr w:type="spellStart"/>
      <w:r w:rsidRPr="00CF70A7">
        <w:rPr>
          <w:i/>
        </w:rPr>
        <w:t>Septoglomus</w:t>
      </w:r>
      <w:proofErr w:type="spellEnd"/>
      <w:r w:rsidRPr="00D338E4">
        <w:t xml:space="preserve"> and </w:t>
      </w:r>
      <w:proofErr w:type="spellStart"/>
      <w:r w:rsidRPr="00CF70A7">
        <w:rPr>
          <w:i/>
        </w:rPr>
        <w:t>Funneliformis</w:t>
      </w:r>
      <w:proofErr w:type="spellEnd"/>
      <w:r w:rsidRPr="00D338E4">
        <w:t xml:space="preserve"> have </w:t>
      </w:r>
      <w:r>
        <w:t>markedly</w:t>
      </w:r>
      <w:r w:rsidRPr="00D338E4">
        <w:t xml:space="preserve"> </w:t>
      </w:r>
      <w:r>
        <w:t>lower</w:t>
      </w:r>
      <w:r w:rsidRPr="00D338E4">
        <w:t xml:space="preserve"> </w:t>
      </w:r>
      <w:r>
        <w:t xml:space="preserve">variation in all three metrics (Fig. 3). The lower predictive power of the full phylogeny compared to genus indicates that sequence variation is a trait that evolves quickly relative to the deep history represented by the AM fungal phylogeny. </w:t>
      </w:r>
    </w:p>
    <w:p w14:paraId="5EE342AB"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pPr>
      <w:r w:rsidRPr="005E3F94">
        <w:rPr>
          <w:i/>
        </w:rPr>
        <w:t>Comparison of Clustering Methodologies</w:t>
      </w:r>
    </w:p>
    <w:p w14:paraId="4F818BB6"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r>
        <w:t xml:space="preserve">The relationship between rarefied OTU richness and actual species richness varied across genera. Given the generally large amount of intraspecific sequence variation present among AM fungal species </w:t>
      </w:r>
      <w:r>
        <w:fldChar w:fldCharType="begin">
          <w:fldData xml:space="preserve">PEVuZE5vdGU+PENpdGU+PEF1dGhvcj5TYW5kZXJzPC9BdXRob3I+PFllYXI+MTk5NTwvWWVhcj48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</w:fldData>
        </w:fldChar>
      </w:r>
      <w:r>
        <w:instrText xml:space="preserve"> ADDIN EN.CITE </w:instrText>
      </w:r>
      <w:r>
        <w:fldChar w:fldCharType="begin">
          <w:fldData xml:space="preserve">PEVuZE5vdGU+PENpdGU+PEF1dGhvcj5TYW5kZXJzPC9BdXRob3I+PFllYXI+MTk5NTwvWWVhcj48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</w:fldData>
        </w:fldChar>
      </w:r>
      <w:r>
        <w:instrText xml:space="preserve"> ADDIN EN.CITE.DATA </w:instrText>
      </w:r>
      <w:r>
        <w:fldChar w:fldCharType="end"/>
      </w:r>
      <w:r>
        <w:fldChar w:fldCharType="separate"/>
      </w:r>
      <w:r>
        <w:rPr>
          <w:noProof/>
        </w:rPr>
        <w:t>(</w:t>
      </w:r>
      <w:hyperlink w:anchor="_ENREF_10" w:tooltip="Sanders, 1995 #140" w:history="1">
        <w:r>
          <w:rPr>
            <w:noProof/>
          </w:rPr>
          <w:t>10</w:t>
        </w:r>
      </w:hyperlink>
      <w:r>
        <w:rPr>
          <w:noProof/>
        </w:rPr>
        <w:t xml:space="preserve">, </w:t>
      </w:r>
      <w:hyperlink w:anchor="_ENREF_11" w:tooltip="Clapp, 1999 #87" w:history="1">
        <w:r>
          <w:rPr>
            <w:noProof/>
          </w:rPr>
          <w:t>11</w:t>
        </w:r>
      </w:hyperlink>
      <w:r>
        <w:rPr>
          <w:noProof/>
        </w:rPr>
        <w:t>)</w:t>
      </w:r>
      <w:r>
        <w:fldChar w:fldCharType="end"/>
      </w:r>
      <w:r>
        <w:t xml:space="preserve"> (Fig. 2B and D), we expected the clustering methods to generate multiple OTUs for each biological species. This was generally the pattern we found, with sequences from the same species placed into multiple OTUs, especially for </w:t>
      </w:r>
      <w:r>
        <w:rPr>
          <w:i/>
        </w:rPr>
        <w:t>Rhizophagus</w:t>
      </w:r>
      <w:r>
        <w:t xml:space="preserve"> with its increased amount of intraspecific variation (Fig. 2B and Fig. 4G-J). Compared to species of </w:t>
      </w:r>
      <w:r>
        <w:rPr>
          <w:i/>
        </w:rPr>
        <w:t>Rhizophagus</w:t>
      </w:r>
      <w:r>
        <w:t xml:space="preserve">, species in the </w:t>
      </w:r>
      <w:proofErr w:type="spellStart"/>
      <w:r>
        <w:t>Gigasporaceae</w:t>
      </w:r>
      <w:proofErr w:type="spellEnd"/>
      <w:r>
        <w:t xml:space="preserve"> contained less intraspecific variation (Fig. 2B), and their OTUs </w:t>
      </w:r>
      <w:proofErr w:type="gramStart"/>
      <w:r>
        <w:t>better matched</w:t>
      </w:r>
      <w:proofErr w:type="gramEnd"/>
      <w:r>
        <w:t xml:space="preserve"> species-level groups, as indicated by a combination of lower OTU richness (Fig. 3A), lower OTU diversity (Fig. 3B), and higher adjusted Rand index values (Fig. 4B-E). </w:t>
      </w:r>
    </w:p>
    <w:p w14:paraId="37D9AD0B"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r>
        <w:t xml:space="preserve">However for genera with both little intra- and interspecific variation, sequences from each species were not always assigned to separate OTUs. Although sequences from </w:t>
      </w:r>
      <w:r>
        <w:rPr>
          <w:i/>
        </w:rPr>
        <w:t xml:space="preserve">D. </w:t>
      </w:r>
      <w:proofErr w:type="spellStart"/>
      <w:r>
        <w:rPr>
          <w:i/>
        </w:rPr>
        <w:t>erythropus</w:t>
      </w:r>
      <w:proofErr w:type="spellEnd"/>
      <w:r>
        <w:t xml:space="preserve"> and </w:t>
      </w:r>
      <w:r>
        <w:rPr>
          <w:i/>
        </w:rPr>
        <w:t xml:space="preserve">D. </w:t>
      </w:r>
      <w:proofErr w:type="spellStart"/>
      <w:r>
        <w:rPr>
          <w:i/>
        </w:rPr>
        <w:t>heterogama</w:t>
      </w:r>
      <w:proofErr w:type="spellEnd"/>
      <w:r>
        <w:t xml:space="preserve"> (colored orange and red, respectively in Fig. 2 and 4A) formed monophyletic groups (Fig. 2B and C), sequences from both species were lumped into the same OTU by </w:t>
      </w:r>
      <w:proofErr w:type="spellStart"/>
      <w:r>
        <w:t>AbundantOTU</w:t>
      </w:r>
      <w:proofErr w:type="spellEnd"/>
      <w:r>
        <w:t xml:space="preserve"> and CROP, the two clustering methods that were otherwise the most accurate (Fig. 4B and C). Sequences from separate species in the </w:t>
      </w:r>
      <w:r w:rsidRPr="00E17C13">
        <w:rPr>
          <w:i/>
        </w:rPr>
        <w:t>Claroideoglomus</w:t>
      </w:r>
      <w:r w:rsidRPr="00FA0801">
        <w:t>/</w:t>
      </w:r>
      <w:r w:rsidRPr="00E17C13">
        <w:rPr>
          <w:i/>
        </w:rPr>
        <w:t>Entrophospora</w:t>
      </w:r>
      <w:r w:rsidRPr="00FA0801" w:rsidDel="00BE6312">
        <w:t xml:space="preserve"> </w:t>
      </w:r>
      <w:r>
        <w:t xml:space="preserve">group were also lumped together into the same OTU (Fig. S1) due to a combination of low interspecific sequence variation (Fig. 2F) and incomplete lineage sorting (Fig. 2E), with </w:t>
      </w:r>
      <w:r w:rsidRPr="00FA0801">
        <w:t xml:space="preserve">sequences from </w:t>
      </w:r>
      <w:r>
        <w:t>each evolutionary group (gene history) clustered together regardless of species identity (Fig. S1). A</w:t>
      </w:r>
      <w:r w:rsidRPr="00FA0801">
        <w:t xml:space="preserve">n essential assumption of all sequence clustering methods is that sequences from </w:t>
      </w:r>
      <w:r>
        <w:t>each</w:t>
      </w:r>
      <w:r w:rsidRPr="00FA0801">
        <w:t xml:space="preserve"> species form a monophyletic group on the gene tree, </w:t>
      </w:r>
      <w:r>
        <w:t xml:space="preserve">and therefore </w:t>
      </w:r>
      <w:r w:rsidRPr="00FA0801">
        <w:t>no clustering method will be able to accurately create species-level OTUs in the presence of incomplete lineage sorting</w:t>
      </w:r>
      <w:r>
        <w:t>.</w:t>
      </w:r>
      <w:r w:rsidRPr="00FA0801">
        <w:t xml:space="preserve"> </w:t>
      </w:r>
      <w:r>
        <w:t xml:space="preserve">We demonstrate that the number of OTUs cannot reliably estimate the number of AM fungal species contained in any given sample because not all sequences from known species of AM fungi were consistently grouped together into the same OTU. Furthermore, the direction of this bias in OTU-based estimates of species richness was not consistent across AM fungal genera. </w:t>
      </w:r>
    </w:p>
    <w:p w14:paraId="34D0565D" w14:textId="77777777" w:rsidR="00874649" w:rsidRDefault="00874649" w:rsidP="00874649">
      <w:pPr>
        <w:tabs>
          <w:tab w:val="left" w:pos="720"/>
          <w:tab w:val="left" w:pos="1440"/>
          <w:tab w:val="left" w:pos="2160"/>
          <w:tab w:val="left" w:pos="2880"/>
          <w:tab w:val="left" w:pos="3600"/>
          <w:tab w:val="left" w:pos="4320"/>
        </w:tabs>
        <w:autoSpaceDE w:val="0"/>
        <w:autoSpaceDN w:val="0"/>
        <w:adjustRightInd w:val="0"/>
        <w:spacing w:line="480" w:lineRule="auto"/>
        <w:ind w:firstLine="360"/>
      </w:pPr>
      <w:r>
        <w:t xml:space="preserve">While no clustering method created OTUs that reliably accommodated the genus-specific differences in sequence variation, </w:t>
      </w:r>
      <w:proofErr w:type="spellStart"/>
      <w:r w:rsidRPr="00412EFC">
        <w:t>AbundantOTU</w:t>
      </w:r>
      <w:proofErr w:type="spellEnd"/>
      <w:r w:rsidRPr="00412EFC">
        <w:t xml:space="preserve"> and CROP perform</w:t>
      </w:r>
      <w:r>
        <w:t xml:space="preserve">ed nearly identically and were substantially more accurate than either </w:t>
      </w:r>
      <w:proofErr w:type="spellStart"/>
      <w:r>
        <w:t>mothur</w:t>
      </w:r>
      <w:proofErr w:type="spellEnd"/>
      <w:r>
        <w:t xml:space="preserve"> or UPARSE both across the AM fungal phylogeny (Fig. 3</w:t>
      </w:r>
      <w:r w:rsidRPr="00C711BA">
        <w:t>)</w:t>
      </w:r>
      <w:r>
        <w:t xml:space="preserve"> as well as across a range of intraspecific sequence variation in the </w:t>
      </w:r>
      <w:proofErr w:type="spellStart"/>
      <w:r>
        <w:t>Gigasporaceae</w:t>
      </w:r>
      <w:proofErr w:type="spellEnd"/>
      <w:r>
        <w:t xml:space="preserve"> and </w:t>
      </w:r>
      <w:r>
        <w:rPr>
          <w:i/>
        </w:rPr>
        <w:t>Rhizophagus</w:t>
      </w:r>
      <w:r>
        <w:t xml:space="preserve"> (Fig. 4)</w:t>
      </w:r>
      <w:r w:rsidRPr="00C711BA">
        <w:t xml:space="preserve">. </w:t>
      </w:r>
      <w:r>
        <w:t xml:space="preserve">With the exception of </w:t>
      </w:r>
      <w:r>
        <w:rPr>
          <w:i/>
        </w:rPr>
        <w:t xml:space="preserve">D. </w:t>
      </w:r>
      <w:proofErr w:type="spellStart"/>
      <w:r>
        <w:rPr>
          <w:i/>
        </w:rPr>
        <w:t>erythropus</w:t>
      </w:r>
      <w:proofErr w:type="spellEnd"/>
      <w:r>
        <w:t xml:space="preserve"> and </w:t>
      </w:r>
      <w:r>
        <w:rPr>
          <w:i/>
        </w:rPr>
        <w:t xml:space="preserve">D. </w:t>
      </w:r>
      <w:proofErr w:type="spellStart"/>
      <w:r>
        <w:rPr>
          <w:i/>
        </w:rPr>
        <w:t>heterogama</w:t>
      </w:r>
      <w:proofErr w:type="spellEnd"/>
      <w:r w:rsidRPr="0052403F">
        <w:t xml:space="preserve"> </w:t>
      </w:r>
      <w:r>
        <w:t xml:space="preserve">discussed above, </w:t>
      </w:r>
      <w:r w:rsidRPr="0052403F">
        <w:t xml:space="preserve">OTUs </w:t>
      </w:r>
      <w:r>
        <w:t xml:space="preserve">from </w:t>
      </w:r>
      <w:proofErr w:type="spellStart"/>
      <w:r>
        <w:t>AbundantOTU</w:t>
      </w:r>
      <w:proofErr w:type="spellEnd"/>
      <w:r>
        <w:t xml:space="preserve"> and CROP</w:t>
      </w:r>
      <w:r w:rsidRPr="0052403F">
        <w:t xml:space="preserve"> </w:t>
      </w:r>
      <w:r>
        <w:t xml:space="preserve">also </w:t>
      </w:r>
      <w:r w:rsidRPr="0052403F">
        <w:t>better matched the range of sequence variati</w:t>
      </w:r>
      <w:r>
        <w:t xml:space="preserve">on within each species compared to those from </w:t>
      </w:r>
      <w:proofErr w:type="spellStart"/>
      <w:r>
        <w:t>mothur</w:t>
      </w:r>
      <w:proofErr w:type="spellEnd"/>
      <w:r>
        <w:t xml:space="preserve"> and UPARSE as determined from visual comparisons and their larger adjusted Rand index values (Fig. 4</w:t>
      </w:r>
      <w:r w:rsidRPr="0052403F">
        <w:t xml:space="preserve">). CROP </w:t>
      </w:r>
      <w:r>
        <w:t xml:space="preserve">was the only method tested here that uses Bayesian inference to delineate OTUs instead of a fixed sequence similarity cutoff </w:t>
      </w:r>
      <w:r>
        <w:rPr>
          <w:noProof/>
        </w:rPr>
        <w:t>(35)</w:t>
      </w:r>
      <w:r>
        <w:t xml:space="preserve"> and it is </w:t>
      </w:r>
      <w:r w:rsidRPr="0052403F">
        <w:t xml:space="preserve">therefore surprising that </w:t>
      </w:r>
      <w:r>
        <w:t xml:space="preserve">its results were largely indistinguishable from those of </w:t>
      </w:r>
      <w:proofErr w:type="spellStart"/>
      <w:r w:rsidRPr="0052403F">
        <w:t>AbundantOTU</w:t>
      </w:r>
      <w:proofErr w:type="spellEnd"/>
      <w:r w:rsidRPr="0052403F">
        <w:t xml:space="preserve"> </w:t>
      </w:r>
      <w:r>
        <w:t>using a</w:t>
      </w:r>
      <w:r w:rsidRPr="00DC1819">
        <w:t xml:space="preserve"> 97% sequence similarity </w:t>
      </w:r>
      <w:r>
        <w:t>threshold</w:t>
      </w:r>
      <w:r w:rsidRPr="00DC1819">
        <w:t xml:space="preserve">. </w:t>
      </w:r>
    </w:p>
    <w:p w14:paraId="378DFFAF" w14:textId="77777777" w:rsidR="00874649" w:rsidRDefault="00874649" w:rsidP="00874649">
      <w:pPr>
        <w:pStyle w:val="ListParagraph"/>
        <w:tabs>
          <w:tab w:val="left" w:pos="0"/>
          <w:tab w:val="left" w:pos="720"/>
          <w:tab w:val="left" w:pos="2160"/>
          <w:tab w:val="left" w:pos="2880"/>
          <w:tab w:val="left" w:pos="3600"/>
          <w:tab w:val="left" w:pos="4320"/>
        </w:tabs>
        <w:autoSpaceDE w:val="0"/>
        <w:autoSpaceDN w:val="0"/>
        <w:adjustRightInd w:val="0"/>
        <w:spacing w:line="480" w:lineRule="auto"/>
        <w:ind w:left="0"/>
      </w:pPr>
      <w:r w:rsidRPr="00DF7264">
        <w:rPr>
          <w:i/>
        </w:rPr>
        <w:t xml:space="preserve">Implications for </w:t>
      </w:r>
      <w:r w:rsidRPr="00E17C13">
        <w:rPr>
          <w:i/>
        </w:rPr>
        <w:t xml:space="preserve">environmental </w:t>
      </w:r>
      <w:r w:rsidRPr="00167817">
        <w:rPr>
          <w:i/>
        </w:rPr>
        <w:t>sequenc</w:t>
      </w:r>
      <w:r>
        <w:rPr>
          <w:i/>
        </w:rPr>
        <w:t>ing</w:t>
      </w:r>
    </w:p>
    <w:p w14:paraId="5D96A481" w14:textId="77777777" w:rsidR="00874649" w:rsidRPr="002629C5" w:rsidRDefault="00874649" w:rsidP="00874649">
      <w:pPr>
        <w:pStyle w:val="ListParagraph"/>
        <w:tabs>
          <w:tab w:val="left" w:pos="0"/>
          <w:tab w:val="left" w:pos="720"/>
          <w:tab w:val="left" w:pos="2160"/>
          <w:tab w:val="left" w:pos="2880"/>
          <w:tab w:val="left" w:pos="3600"/>
          <w:tab w:val="left" w:pos="4320"/>
        </w:tabs>
        <w:autoSpaceDE w:val="0"/>
        <w:autoSpaceDN w:val="0"/>
        <w:adjustRightInd w:val="0"/>
        <w:spacing w:line="480" w:lineRule="auto"/>
        <w:ind w:left="0" w:firstLine="360"/>
      </w:pPr>
      <w:r>
        <w:t>Interpretations of environmental sequence data should be guided by knowledge of how AM fungal sequence variation is distributed across taxonomic groups</w:t>
      </w:r>
      <w:r w:rsidRPr="00C43F8A">
        <w:t xml:space="preserve">, </w:t>
      </w:r>
      <w:r>
        <w:t>and</w:t>
      </w:r>
      <w:r w:rsidRPr="00C43F8A">
        <w:t xml:space="preserve"> how different clustering methods delineate OTUs based on that variation</w:t>
      </w:r>
      <w:r>
        <w:t xml:space="preserve">. Several evaluations and guidelines for determining AM fungal community composition from environmental samples have recently been published </w:t>
      </w:r>
      <w:r>
        <w:rPr>
          <w:noProof/>
        </w:rPr>
        <w:t>(39-41)</w:t>
      </w:r>
      <w:r>
        <w:t xml:space="preserve">, but they do not accommodate systematic differences in the amount of intraspecific sequence variation across the sampled taxonomic groups. Caution should also be exercised when assigning taxonomic attributions to environmental sequences using phylogenetic differentiation such as the GMYC </w:t>
      </w:r>
      <w:r>
        <w:rPr>
          <w:noProof/>
        </w:rPr>
        <w:t>(26)</w:t>
      </w:r>
      <w:r>
        <w:t xml:space="preserve"> and PTP </w:t>
      </w:r>
      <w:r>
        <w:rPr>
          <w:noProof/>
        </w:rPr>
        <w:t>(42)</w:t>
      </w:r>
      <w:r>
        <w:t xml:space="preserve"> methods, or using entities like the v</w:t>
      </w:r>
      <w:r w:rsidRPr="00C43F8A">
        <w:t xml:space="preserve">irtual taxa that are </w:t>
      </w:r>
      <w:r>
        <w:t>represented by</w:t>
      </w:r>
      <w:r w:rsidRPr="00C43F8A">
        <w:t xml:space="preserve"> </w:t>
      </w:r>
      <w:r>
        <w:t>voucher</w:t>
      </w:r>
      <w:r w:rsidRPr="00C43F8A">
        <w:t xml:space="preserve"> sequences in the </w:t>
      </w:r>
      <w:proofErr w:type="spellStart"/>
      <w:r w:rsidRPr="00C43F8A">
        <w:t>MaarjAM</w:t>
      </w:r>
      <w:proofErr w:type="spellEnd"/>
      <w:r>
        <w:t xml:space="preserve"> database</w:t>
      </w:r>
      <w:r w:rsidRPr="00C43F8A">
        <w:t xml:space="preserve"> </w:t>
      </w:r>
      <w:r>
        <w:rPr>
          <w:noProof/>
        </w:rPr>
        <w:t>(21, 27, 43)</w:t>
      </w:r>
      <w:r w:rsidRPr="00C43F8A">
        <w:t xml:space="preserve"> </w:t>
      </w:r>
      <w:r>
        <w:t xml:space="preserve">on the basis of phylogenetic </w:t>
      </w:r>
      <w:proofErr w:type="spellStart"/>
      <w:r>
        <w:t>monophyly</w:t>
      </w:r>
      <w:proofErr w:type="spellEnd"/>
      <w:r>
        <w:t xml:space="preserve"> and high sequence similarity </w:t>
      </w:r>
      <w:r>
        <w:rPr>
          <w:noProof/>
        </w:rPr>
        <w:t>(26)</w:t>
      </w:r>
      <w:r>
        <w:t>. For example, these methods would</w:t>
      </w:r>
      <w:r w:rsidRPr="00C43F8A">
        <w:t xml:space="preserve"> </w:t>
      </w:r>
      <w:r>
        <w:t xml:space="preserve">consistently under-represent the diversity of groups like the </w:t>
      </w:r>
      <w:proofErr w:type="spellStart"/>
      <w:r>
        <w:t>Gigasporaceae</w:t>
      </w:r>
      <w:proofErr w:type="spellEnd"/>
      <w:r>
        <w:t xml:space="preserve"> that has both low intra- and interspecific sequence variation (Fig. 2B), and </w:t>
      </w:r>
      <w:r>
        <w:rPr>
          <w:i/>
        </w:rPr>
        <w:t>Claroideoglomus</w:t>
      </w:r>
      <w:r>
        <w:t>/</w:t>
      </w:r>
      <w:r>
        <w:rPr>
          <w:i/>
        </w:rPr>
        <w:t>Entrophospora</w:t>
      </w:r>
      <w:r w:rsidDel="00EF413B">
        <w:t xml:space="preserve"> </w:t>
      </w:r>
      <w:r>
        <w:t>that has incomplete lineage sorting of sequence variation (Fig. 2E-F)</w:t>
      </w:r>
      <w:r>
        <w:rPr>
          <w:i/>
        </w:rPr>
        <w:t>.</w:t>
      </w:r>
      <w:r w:rsidRPr="00C43F8A">
        <w:t xml:space="preserve"> </w:t>
      </w:r>
      <w:r>
        <w:t xml:space="preserve">Indeed for recent estimates of global AM fungal endemism, when taxa were defined instead using OTUs that represented more of the inherent sequence variation compared to </w:t>
      </w:r>
      <w:proofErr w:type="gramStart"/>
      <w:r>
        <w:t>phylogenetically-defined</w:t>
      </w:r>
      <w:proofErr w:type="gramEnd"/>
      <w:r>
        <w:t xml:space="preserve"> virtual taxa, the estimated endemism increased by an order of magnitude </w:t>
      </w:r>
      <w:r>
        <w:rPr>
          <w:noProof/>
        </w:rPr>
        <w:t>(43)</w:t>
      </w:r>
      <w:r>
        <w:t xml:space="preserve">. Conversely, for AM fungal groups with a large amount of intraspecific sequence variation, like species in </w:t>
      </w:r>
      <w:r>
        <w:rPr>
          <w:i/>
        </w:rPr>
        <w:t>Rhizophagus</w:t>
      </w:r>
      <w:r>
        <w:t xml:space="preserve">, we show that all four of the clustering methods tested split the sequence variation from a single species into multiple OTUs (Fig. 4G-J). This phenomenon may partly underlie field observations of phylogenetic aggregation in AM fungal communities over short distances (meters) </w:t>
      </w:r>
      <w:r>
        <w:rPr>
          <w:noProof/>
        </w:rPr>
        <w:t>(22)</w:t>
      </w:r>
      <w:r>
        <w:t xml:space="preserve"> as this aggregation may represent sequences from a single organism that were assigned to several OTUs instead of the presence of multiple, functionally similar species.</w:t>
      </w:r>
    </w:p>
    <w:p w14:paraId="7731D116" w14:textId="77777777" w:rsidR="00874649" w:rsidRPr="0094527C" w:rsidRDefault="00874649" w:rsidP="00874649">
      <w:pPr>
        <w:pStyle w:val="ListParagraph"/>
        <w:tabs>
          <w:tab w:val="left" w:pos="0"/>
          <w:tab w:val="left" w:pos="720"/>
          <w:tab w:val="left" w:pos="2160"/>
          <w:tab w:val="left" w:pos="2880"/>
          <w:tab w:val="left" w:pos="3600"/>
          <w:tab w:val="left" w:pos="4320"/>
        </w:tabs>
        <w:autoSpaceDE w:val="0"/>
        <w:autoSpaceDN w:val="0"/>
        <w:adjustRightInd w:val="0"/>
        <w:spacing w:line="480" w:lineRule="auto"/>
        <w:ind w:left="0"/>
      </w:pPr>
      <w:r>
        <w:rPr>
          <w:i/>
        </w:rPr>
        <w:t>Conclusions</w:t>
      </w:r>
    </w:p>
    <w:p w14:paraId="4D2F2C3B" w14:textId="77777777" w:rsidR="00874649" w:rsidRPr="00851AD1" w:rsidRDefault="00874649" w:rsidP="00874649">
      <w:pPr>
        <w:pStyle w:val="ListParagraph"/>
        <w:tabs>
          <w:tab w:val="left" w:pos="900"/>
          <w:tab w:val="left" w:pos="1440"/>
          <w:tab w:val="left" w:pos="2160"/>
          <w:tab w:val="left" w:pos="2880"/>
          <w:tab w:val="left" w:pos="3600"/>
          <w:tab w:val="left" w:pos="4320"/>
        </w:tabs>
        <w:autoSpaceDE w:val="0"/>
        <w:autoSpaceDN w:val="0"/>
        <w:adjustRightInd w:val="0"/>
        <w:spacing w:line="480" w:lineRule="auto"/>
        <w:ind w:left="0" w:firstLine="360"/>
        <w:rPr>
          <w:highlight w:val="yellow"/>
        </w:rPr>
      </w:pPr>
      <w:r w:rsidRPr="00851AD1">
        <w:t xml:space="preserve">Identifying putative AM fungal species in environmental samples typically uses </w:t>
      </w:r>
      <w:proofErr w:type="spellStart"/>
      <w:r w:rsidRPr="00851AD1">
        <w:t>rRNA</w:t>
      </w:r>
      <w:proofErr w:type="spellEnd"/>
      <w:r w:rsidRPr="00851AD1">
        <w:t xml:space="preserve"> gene sequences. We find that the level of </w:t>
      </w:r>
      <w:r w:rsidRPr="00D66890">
        <w:t>sequence variation</w:t>
      </w:r>
      <w:r w:rsidRPr="00851AD1">
        <w:t xml:space="preserve"> in the </w:t>
      </w:r>
      <w:proofErr w:type="spellStart"/>
      <w:r w:rsidRPr="00851AD1">
        <w:t>rRNA</w:t>
      </w:r>
      <w:proofErr w:type="spellEnd"/>
      <w:r w:rsidRPr="00851AD1">
        <w:t xml:space="preserve"> gene </w:t>
      </w:r>
      <w:r w:rsidRPr="00D66890">
        <w:t xml:space="preserve">consistently </w:t>
      </w:r>
      <w:r>
        <w:t>differs</w:t>
      </w:r>
      <w:r w:rsidRPr="00851AD1">
        <w:t xml:space="preserve"> across AM fungal genera, and that this sequence </w:t>
      </w:r>
      <w:r>
        <w:t>variation</w:t>
      </w:r>
      <w:r w:rsidRPr="00851AD1">
        <w:t xml:space="preserve"> is also subject to incomplete lineage sorting in the </w:t>
      </w:r>
      <w:r w:rsidRPr="00851AD1">
        <w:rPr>
          <w:i/>
        </w:rPr>
        <w:t>Claroideoglomus/Entrophospora</w:t>
      </w:r>
      <w:r w:rsidRPr="00851AD1">
        <w:t xml:space="preserve"> group. The lack of consistency in the </w:t>
      </w:r>
      <w:r w:rsidRPr="00D66890">
        <w:t xml:space="preserve">level of </w:t>
      </w:r>
      <w:proofErr w:type="spellStart"/>
      <w:r w:rsidRPr="00D66890">
        <w:t>rRNA</w:t>
      </w:r>
      <w:proofErr w:type="spellEnd"/>
      <w:r w:rsidRPr="00D66890">
        <w:t xml:space="preserve"> sequence variation</w:t>
      </w:r>
      <w:r w:rsidRPr="00851AD1">
        <w:t xml:space="preserve"> that occurs across both taxonomic groups and the full phylogeny presents genuine problems in using OTU richness to estimate species richness for AM fungi. The MDS visualization we demonstrate here can assist as a diagnostic tool to identify groups that may be especially affected by differences in </w:t>
      </w:r>
      <w:proofErr w:type="spellStart"/>
      <w:r w:rsidRPr="00851AD1">
        <w:t>rRNA</w:t>
      </w:r>
      <w:proofErr w:type="spellEnd"/>
      <w:r w:rsidRPr="00851AD1">
        <w:t xml:space="preserve"> sequence </w:t>
      </w:r>
      <w:r>
        <w:t>variation,</w:t>
      </w:r>
      <w:r w:rsidRPr="00851AD1">
        <w:t xml:space="preserve"> but no current method of sequence-based species identification is able to overcome this problem.</w:t>
      </w:r>
      <w:r w:rsidRPr="00851AD1">
        <w:rPr>
          <w:highlight w:val="yellow"/>
        </w:rPr>
        <w:t xml:space="preserve"> </w:t>
      </w:r>
    </w:p>
    <w:p w14:paraId="25C0BB5C" w14:textId="77777777" w:rsidR="00874649" w:rsidRDefault="00874649" w:rsidP="00874649">
      <w:pPr>
        <w:spacing w:line="480" w:lineRule="auto"/>
      </w:pPr>
      <w:r>
        <w:br w:type="page"/>
      </w:r>
    </w:p>
    <w:p w14:paraId="6DE08FC9" w14:textId="77777777" w:rsidR="00874649" w:rsidRPr="00E17C13" w:rsidRDefault="00874649" w:rsidP="00874649">
      <w:r w:rsidRPr="00E17C13">
        <w:t>Acknowledgements</w:t>
      </w:r>
      <w:r>
        <w:t>:</w:t>
      </w:r>
    </w:p>
    <w:p w14:paraId="5AF90A47" w14:textId="77777777" w:rsidR="00874649" w:rsidRPr="00E17C13" w:rsidRDefault="00874649" w:rsidP="00874649"/>
    <w:p w14:paraId="1F0C342A" w14:textId="77777777" w:rsidR="00874649" w:rsidRPr="00E17C13" w:rsidRDefault="00874649" w:rsidP="00874649">
      <w:r>
        <w:t xml:space="preserve">We thank Joe Morton of INVAM for the maintenance of and access to AM fungal cultures used in this study, </w:t>
      </w:r>
      <w:r w:rsidRPr="00E17C13">
        <w:t>Ed Kim for assistance with spore isolation and sample preparation</w:t>
      </w:r>
      <w:r>
        <w:t xml:space="preserve">, and Anna </w:t>
      </w:r>
      <w:proofErr w:type="spellStart"/>
      <w:r>
        <w:t>Rosling</w:t>
      </w:r>
      <w:proofErr w:type="spellEnd"/>
      <w:r>
        <w:t xml:space="preserve"> for initial exploration of the sequence dataset. Funding was provided by NSF grants </w:t>
      </w:r>
      <w:r>
        <w:rPr>
          <w:rFonts w:eastAsia="Times New Roman" w:cs="Times New Roman"/>
        </w:rPr>
        <w:t>DEB-0616891 and DEB-0919434, and SERDP RC-2330</w:t>
      </w:r>
      <w:r>
        <w:t xml:space="preserve"> to J.D.B.</w:t>
      </w:r>
      <w:r>
        <w:rPr>
          <w:rFonts w:ascii="Times" w:eastAsiaTheme="minorEastAsia" w:hAnsi="Times" w:cs="Times"/>
          <w:color w:val="313132"/>
          <w:lang w:eastAsia="ja-JP"/>
        </w:rPr>
        <w:t xml:space="preserve"> </w:t>
      </w:r>
      <w:r w:rsidRPr="00E17C13">
        <w:rPr>
          <w:rFonts w:ascii="Times" w:eastAsiaTheme="minorEastAsia" w:hAnsi="Times" w:cs="Times"/>
          <w:color w:val="313132"/>
          <w:lang w:eastAsia="ja-JP"/>
        </w:rPr>
        <w:t xml:space="preserve">This research was supported in part by Lilly Endowment, Inc., through its support for the Indiana University Pervasive Technology Institute, and in part by the Indiana </w:t>
      </w:r>
      <w:proofErr w:type="spellStart"/>
      <w:r w:rsidRPr="00E17C13">
        <w:rPr>
          <w:rFonts w:ascii="Times" w:eastAsiaTheme="minorEastAsia" w:hAnsi="Times" w:cs="Times"/>
          <w:color w:val="313132"/>
          <w:lang w:eastAsia="ja-JP"/>
        </w:rPr>
        <w:t>METACyt</w:t>
      </w:r>
      <w:proofErr w:type="spellEnd"/>
      <w:r w:rsidRPr="00E17C13">
        <w:rPr>
          <w:rFonts w:ascii="Times" w:eastAsiaTheme="minorEastAsia" w:hAnsi="Times" w:cs="Times"/>
          <w:color w:val="313132"/>
          <w:lang w:eastAsia="ja-JP"/>
        </w:rPr>
        <w:t xml:space="preserve"> Initiative.</w:t>
      </w:r>
    </w:p>
    <w:p w14:paraId="3239F817" w14:textId="77777777" w:rsidR="00874649" w:rsidRPr="000E6416" w:rsidRDefault="00874649" w:rsidP="00874649">
      <w:pPr>
        <w:rPr>
          <w:sz w:val="22"/>
          <w:szCs w:val="22"/>
        </w:rPr>
      </w:pPr>
      <w:r>
        <w:rPr>
          <w:sz w:val="22"/>
          <w:szCs w:val="22"/>
        </w:rPr>
        <w:br w:type="page"/>
      </w:r>
    </w:p>
    <w:p w14:paraId="74EF531C" w14:textId="77777777" w:rsidR="00874649" w:rsidRDefault="00874649">
      <w:pPr>
        <w:rPr>
          <w:rFonts w:cs="Times New Roman"/>
          <w:noProof/>
        </w:rPr>
      </w:pPr>
      <w:r>
        <w:rPr>
          <w:rFonts w:cs="Times New Roman"/>
          <w:noProof/>
        </w:rPr>
        <w:drawing>
          <wp:inline distT="0" distB="0" distL="0" distR="0" wp14:anchorId="0891D4FB" wp14:editId="5DA46059">
            <wp:extent cx="3121152" cy="353568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_2015_AMFClustering_Fig1Draft_3.png"/>
                    <pic:cNvPicPr/>
                  </pic:nvPicPr>
                  <pic:blipFill>
                    <a:blip r:embed="rId5">
                      <a:extLst>
                        <a:ext uri="{28A0092B-C50C-407E-A947-70E740481C1C}">
                          <a14:useLocalDpi xmlns:a14="http://schemas.microsoft.com/office/drawing/2010/main" val="0"/>
                        </a:ext>
                      </a:extLst>
                    </a:blip>
                    <a:stretch>
                      <a:fillRect/>
                    </a:stretch>
                  </pic:blipFill>
                  <pic:spPr>
                    <a:xfrm>
                      <a:off x="0" y="0"/>
                      <a:ext cx="3121152" cy="3535680"/>
                    </a:xfrm>
                    <a:prstGeom prst="rect">
                      <a:avLst/>
                    </a:prstGeom>
                  </pic:spPr>
                </pic:pic>
              </a:graphicData>
            </a:graphic>
          </wp:inline>
        </w:drawing>
      </w:r>
    </w:p>
    <w:p w14:paraId="1C544153" w14:textId="77777777" w:rsidR="00874649" w:rsidRDefault="00874649" w:rsidP="00874649">
      <w:pPr>
        <w:rPr>
          <w:rFonts w:cs="Times New Roman"/>
          <w:noProof/>
        </w:rPr>
      </w:pPr>
    </w:p>
    <w:p w14:paraId="675AD335" w14:textId="77777777" w:rsidR="00874649" w:rsidRDefault="00874649" w:rsidP="00874649">
      <w:r>
        <w:t>Fig. 1: Correspondence between the phylogenetic tree (left) and two different views of the MDS clustering (right) for sequences from 21 species of AM fungi colored by genus. Branches within genera on the phylogenetic tree are collapsed for clarity, but each sequence is represented as a point in the MDS visualization.</w:t>
      </w:r>
    </w:p>
    <w:p w14:paraId="22659217" w14:textId="77777777" w:rsidR="00874649" w:rsidRDefault="00874649">
      <w:pPr>
        <w:rPr>
          <w:rFonts w:cs="Times New Roman"/>
          <w:noProof/>
        </w:rPr>
      </w:pPr>
      <w:r>
        <w:rPr>
          <w:rFonts w:cs="Times New Roman"/>
          <w:noProof/>
        </w:rPr>
        <w:br w:type="page"/>
      </w:r>
    </w:p>
    <w:p w14:paraId="2DA23D2B" w14:textId="77777777" w:rsidR="00874649" w:rsidRDefault="00874649">
      <w:pPr>
        <w:rPr>
          <w:rFonts w:cs="Times New Roman"/>
          <w:noProof/>
        </w:rPr>
      </w:pPr>
      <w:r>
        <w:rPr>
          <w:rFonts w:cs="Times New Roman"/>
          <w:noProof/>
        </w:rPr>
        <w:drawing>
          <wp:inline distT="0" distB="0" distL="0" distR="0" wp14:anchorId="061114E5" wp14:editId="585B5182">
            <wp:extent cx="4102608" cy="6178296"/>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_2015_AMFClusteringPaper_Figure2_ClusterPhyloHeatmapCompare_Draft_4.png"/>
                    <pic:cNvPicPr/>
                  </pic:nvPicPr>
                  <pic:blipFill>
                    <a:blip r:embed="rId6">
                      <a:extLst>
                        <a:ext uri="{28A0092B-C50C-407E-A947-70E740481C1C}">
                          <a14:useLocalDpi xmlns:a14="http://schemas.microsoft.com/office/drawing/2010/main" val="0"/>
                        </a:ext>
                      </a:extLst>
                    </a:blip>
                    <a:stretch>
                      <a:fillRect/>
                    </a:stretch>
                  </pic:blipFill>
                  <pic:spPr>
                    <a:xfrm>
                      <a:off x="0" y="0"/>
                      <a:ext cx="4102608" cy="6178296"/>
                    </a:xfrm>
                    <a:prstGeom prst="rect">
                      <a:avLst/>
                    </a:prstGeom>
                  </pic:spPr>
                </pic:pic>
              </a:graphicData>
            </a:graphic>
          </wp:inline>
        </w:drawing>
      </w:r>
    </w:p>
    <w:p w14:paraId="44117908" w14:textId="77777777" w:rsidR="00874649" w:rsidRDefault="00874649">
      <w:pPr>
        <w:rPr>
          <w:rFonts w:cs="Times New Roman"/>
          <w:noProof/>
        </w:rPr>
      </w:pPr>
    </w:p>
    <w:p w14:paraId="6D5CFCA6" w14:textId="77777777" w:rsidR="00874649" w:rsidRDefault="00874649" w:rsidP="00874649">
      <w:r>
        <w:t xml:space="preserve">Fig. 2: Comparisons of sequence similarity between the gene tree and </w:t>
      </w:r>
      <w:proofErr w:type="spellStart"/>
      <w:r>
        <w:t>heatmaps</w:t>
      </w:r>
      <w:proofErr w:type="spellEnd"/>
      <w:r>
        <w:t xml:space="preserve"> of pairwise sequence similarity for species in the </w:t>
      </w:r>
      <w:proofErr w:type="spellStart"/>
      <w:r w:rsidRPr="00D73FB2">
        <w:t>Gigasporaceae</w:t>
      </w:r>
      <w:proofErr w:type="spellEnd"/>
      <w:r>
        <w:t xml:space="preserve"> (top row), </w:t>
      </w:r>
      <w:r>
        <w:rPr>
          <w:i/>
        </w:rPr>
        <w:t>Rhizophagus</w:t>
      </w:r>
      <w:r>
        <w:t xml:space="preserve"> (center row), and </w:t>
      </w:r>
      <w:r w:rsidRPr="00E17C13">
        <w:rPr>
          <w:i/>
        </w:rPr>
        <w:t>Claroideoglom</w:t>
      </w:r>
      <w:r>
        <w:rPr>
          <w:i/>
        </w:rPr>
        <w:t xml:space="preserve">us/Entrophospora </w:t>
      </w:r>
      <w:r>
        <w:t xml:space="preserve">(bottom row), with each species in the group being represented by the same color in both the gene tree and the </w:t>
      </w:r>
      <w:proofErr w:type="spellStart"/>
      <w:r>
        <w:t>heatmap</w:t>
      </w:r>
      <w:proofErr w:type="spellEnd"/>
      <w:r>
        <w:t xml:space="preserve">. In the </w:t>
      </w:r>
      <w:proofErr w:type="spellStart"/>
      <w:r>
        <w:t>heatmap</w:t>
      </w:r>
      <w:proofErr w:type="spellEnd"/>
      <w:r>
        <w:t xml:space="preserve"> for </w:t>
      </w:r>
      <w:r w:rsidRPr="00FD2F1D">
        <w:rPr>
          <w:i/>
        </w:rPr>
        <w:t>Claroideoglom</w:t>
      </w:r>
      <w:r>
        <w:rPr>
          <w:i/>
        </w:rPr>
        <w:t>us/Entrophospora</w:t>
      </w:r>
      <w:r>
        <w:t xml:space="preserve">, </w:t>
      </w:r>
      <w:proofErr w:type="gramStart"/>
      <w:r>
        <w:t>sequences from gene history 1 are marked by pink circles</w:t>
      </w:r>
      <w:proofErr w:type="gramEnd"/>
      <w:r>
        <w:t xml:space="preserve"> and those from gene history 2 are marked by black squares.</w:t>
      </w:r>
    </w:p>
    <w:p w14:paraId="235556DB" w14:textId="77777777" w:rsidR="00874649" w:rsidRDefault="00874649">
      <w:pPr>
        <w:rPr>
          <w:rFonts w:cs="Times New Roman"/>
          <w:noProof/>
        </w:rPr>
      </w:pPr>
      <w:bookmarkStart w:id="2" w:name="_GoBack"/>
      <w:bookmarkEnd w:id="2"/>
    </w:p>
    <w:p w14:paraId="1BF1CE6D" w14:textId="77777777" w:rsidR="00874649" w:rsidRDefault="00874649">
      <w:pPr>
        <w:rPr>
          <w:rFonts w:cs="Times New Roman"/>
          <w:noProof/>
        </w:rPr>
      </w:pPr>
    </w:p>
    <w:p w14:paraId="2688EE49" w14:textId="77777777" w:rsidR="00874649" w:rsidRDefault="00874649">
      <w:pPr>
        <w:rPr>
          <w:rFonts w:cs="Times New Roman"/>
          <w:noProof/>
        </w:rPr>
      </w:pPr>
      <w:r>
        <w:rPr>
          <w:rFonts w:cs="Times New Roman"/>
          <w:noProof/>
        </w:rPr>
        <w:br w:type="page"/>
      </w:r>
    </w:p>
    <w:p w14:paraId="6E2A3352" w14:textId="77777777" w:rsidR="00874649" w:rsidRDefault="00874649">
      <w:pPr>
        <w:rPr>
          <w:rFonts w:cs="Times New Roman"/>
          <w:noProof/>
        </w:rPr>
      </w:pPr>
      <w:r>
        <w:rPr>
          <w:rFonts w:cs="Times New Roman"/>
          <w:noProof/>
        </w:rPr>
        <w:drawing>
          <wp:inline distT="0" distB="0" distL="0" distR="0" wp14:anchorId="4252CA88" wp14:editId="7D30A93B">
            <wp:extent cx="4102608" cy="3468624"/>
            <wp:effectExtent l="0" t="0" r="1270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_2015_AMFClustering_PhyloTableLayoutDraft3.png"/>
                    <pic:cNvPicPr/>
                  </pic:nvPicPr>
                  <pic:blipFill>
                    <a:blip r:embed="rId7">
                      <a:extLst>
                        <a:ext uri="{28A0092B-C50C-407E-A947-70E740481C1C}">
                          <a14:useLocalDpi xmlns:a14="http://schemas.microsoft.com/office/drawing/2010/main" val="0"/>
                        </a:ext>
                      </a:extLst>
                    </a:blip>
                    <a:stretch>
                      <a:fillRect/>
                    </a:stretch>
                  </pic:blipFill>
                  <pic:spPr>
                    <a:xfrm>
                      <a:off x="0" y="0"/>
                      <a:ext cx="4102608" cy="3468624"/>
                    </a:xfrm>
                    <a:prstGeom prst="rect">
                      <a:avLst/>
                    </a:prstGeom>
                  </pic:spPr>
                </pic:pic>
              </a:graphicData>
            </a:graphic>
          </wp:inline>
        </w:drawing>
      </w:r>
    </w:p>
    <w:p w14:paraId="63FFB198" w14:textId="77777777" w:rsidR="00874649" w:rsidRDefault="00874649">
      <w:pPr>
        <w:rPr>
          <w:rFonts w:cs="Times New Roman"/>
          <w:noProof/>
        </w:rPr>
      </w:pPr>
    </w:p>
    <w:p w14:paraId="634D0822" w14:textId="77777777" w:rsidR="00874649" w:rsidRDefault="00874649" w:rsidP="00874649">
      <w:r>
        <w:t>Fig. 3: Phylogenetic differences in nucleotide diversity (</w:t>
      </w:r>
      <w:r w:rsidRPr="00E17C13">
        <w:t>π</w:t>
      </w:r>
      <w:r>
        <w:t xml:space="preserve">; left) as well as both rarefied OTU richness (middle) and OTU diversity (right) for each of the four clustering methods: </w:t>
      </w:r>
      <w:proofErr w:type="spellStart"/>
      <w:r>
        <w:t>AbundantOTU</w:t>
      </w:r>
      <w:proofErr w:type="spellEnd"/>
      <w:r>
        <w:t xml:space="preserve"> (A), CROP (C), </w:t>
      </w:r>
      <w:proofErr w:type="spellStart"/>
      <w:r>
        <w:t>mothur</w:t>
      </w:r>
      <w:proofErr w:type="spellEnd"/>
      <w:r>
        <w:t xml:space="preserve"> (M), and UPARSE (U) for all species and geographic isolates. The rooted phylogeny was made using representative extended sequences (~675 </w:t>
      </w:r>
      <w:proofErr w:type="spellStart"/>
      <w:r>
        <w:t>bp</w:t>
      </w:r>
      <w:proofErr w:type="spellEnd"/>
      <w:r>
        <w:t xml:space="preserve">) from each species. The leaves are colored by genus to match Fig. 1 and genera are abbreviated as follows: </w:t>
      </w:r>
      <w:r>
        <w:rPr>
          <w:i/>
        </w:rPr>
        <w:t>Par</w:t>
      </w:r>
      <w:r w:rsidRPr="00E17C13">
        <w:t>:</w:t>
      </w:r>
      <w:r>
        <w:rPr>
          <w:i/>
        </w:rPr>
        <w:t xml:space="preserve"> </w:t>
      </w:r>
      <w:proofErr w:type="spellStart"/>
      <w:r>
        <w:rPr>
          <w:i/>
        </w:rPr>
        <w:t>Paraglomus</w:t>
      </w:r>
      <w:proofErr w:type="spellEnd"/>
      <w:r w:rsidRPr="00E17C13">
        <w:t>,</w:t>
      </w:r>
      <w:r>
        <w:rPr>
          <w:i/>
        </w:rPr>
        <w:t xml:space="preserve"> </w:t>
      </w:r>
      <w:proofErr w:type="spellStart"/>
      <w:r>
        <w:rPr>
          <w:i/>
        </w:rPr>
        <w:t>Amb</w:t>
      </w:r>
      <w:proofErr w:type="spellEnd"/>
      <w:r w:rsidRPr="00E17C13">
        <w:t>:</w:t>
      </w:r>
      <w:r>
        <w:rPr>
          <w:i/>
        </w:rPr>
        <w:t xml:space="preserve"> </w:t>
      </w:r>
      <w:proofErr w:type="spellStart"/>
      <w:r>
        <w:rPr>
          <w:i/>
        </w:rPr>
        <w:t>Ambispora</w:t>
      </w:r>
      <w:proofErr w:type="spellEnd"/>
      <w:r w:rsidRPr="00E17C13">
        <w:t>,</w:t>
      </w:r>
      <w:r>
        <w:rPr>
          <w:i/>
        </w:rPr>
        <w:t xml:space="preserve"> Arc</w:t>
      </w:r>
      <w:r w:rsidRPr="00E17C13">
        <w:t xml:space="preserve">: </w:t>
      </w:r>
      <w:proofErr w:type="spellStart"/>
      <w:r>
        <w:rPr>
          <w:i/>
        </w:rPr>
        <w:t>Archaeospora</w:t>
      </w:r>
      <w:proofErr w:type="spellEnd"/>
      <w:r w:rsidRPr="00E17C13">
        <w:t>,</w:t>
      </w:r>
      <w:r>
        <w:rPr>
          <w:i/>
        </w:rPr>
        <w:t xml:space="preserve"> </w:t>
      </w:r>
      <w:proofErr w:type="spellStart"/>
      <w:r>
        <w:rPr>
          <w:i/>
        </w:rPr>
        <w:t>Cla</w:t>
      </w:r>
      <w:proofErr w:type="spellEnd"/>
      <w:r w:rsidRPr="00E17C13">
        <w:t>:</w:t>
      </w:r>
      <w:r>
        <w:rPr>
          <w:i/>
        </w:rPr>
        <w:t xml:space="preserve"> Claroideoglomus</w:t>
      </w:r>
      <w:r w:rsidRPr="00E17C13">
        <w:t>,</w:t>
      </w:r>
      <w:r>
        <w:rPr>
          <w:i/>
        </w:rPr>
        <w:t xml:space="preserve"> </w:t>
      </w:r>
      <w:proofErr w:type="spellStart"/>
      <w:r>
        <w:rPr>
          <w:i/>
        </w:rPr>
        <w:t>Ent</w:t>
      </w:r>
      <w:proofErr w:type="spellEnd"/>
      <w:r w:rsidRPr="00E17C13">
        <w:t>:</w:t>
      </w:r>
      <w:r>
        <w:rPr>
          <w:i/>
        </w:rPr>
        <w:t xml:space="preserve"> Entrophospora</w:t>
      </w:r>
      <w:r w:rsidRPr="00E17C13">
        <w:t>,</w:t>
      </w:r>
      <w:r>
        <w:rPr>
          <w:i/>
        </w:rPr>
        <w:t xml:space="preserve"> </w:t>
      </w:r>
      <w:proofErr w:type="spellStart"/>
      <w:r>
        <w:rPr>
          <w:i/>
        </w:rPr>
        <w:t>Rhi</w:t>
      </w:r>
      <w:proofErr w:type="spellEnd"/>
      <w:r w:rsidRPr="00E17C13">
        <w:t>:</w:t>
      </w:r>
      <w:r>
        <w:rPr>
          <w:i/>
        </w:rPr>
        <w:t xml:space="preserve"> Rhizophagus</w:t>
      </w:r>
      <w:r w:rsidRPr="00E17C13">
        <w:t>,</w:t>
      </w:r>
      <w:r>
        <w:rPr>
          <w:i/>
        </w:rPr>
        <w:t xml:space="preserve"> Sep</w:t>
      </w:r>
      <w:r w:rsidRPr="00E17C13">
        <w:t>:</w:t>
      </w:r>
      <w:r>
        <w:rPr>
          <w:i/>
        </w:rPr>
        <w:t xml:space="preserve"> </w:t>
      </w:r>
      <w:proofErr w:type="spellStart"/>
      <w:r>
        <w:rPr>
          <w:i/>
        </w:rPr>
        <w:t>Septoglomus</w:t>
      </w:r>
      <w:proofErr w:type="spellEnd"/>
      <w:r w:rsidRPr="00E17C13">
        <w:t>,</w:t>
      </w:r>
      <w:r>
        <w:rPr>
          <w:i/>
        </w:rPr>
        <w:t xml:space="preserve"> Fun</w:t>
      </w:r>
      <w:r w:rsidRPr="00E17C13">
        <w:t>:</w:t>
      </w:r>
      <w:r>
        <w:rPr>
          <w:i/>
        </w:rPr>
        <w:t xml:space="preserve"> </w:t>
      </w:r>
      <w:proofErr w:type="spellStart"/>
      <w:r>
        <w:rPr>
          <w:i/>
        </w:rPr>
        <w:t>Funneliformis</w:t>
      </w:r>
      <w:proofErr w:type="spellEnd"/>
      <w:r w:rsidRPr="00E17C13">
        <w:t>,</w:t>
      </w:r>
      <w:r>
        <w:rPr>
          <w:i/>
        </w:rPr>
        <w:t xml:space="preserve"> </w:t>
      </w:r>
      <w:proofErr w:type="spellStart"/>
      <w:r>
        <w:rPr>
          <w:i/>
        </w:rPr>
        <w:t>Scu</w:t>
      </w:r>
      <w:proofErr w:type="spellEnd"/>
      <w:r w:rsidRPr="00E17C13">
        <w:t>:</w:t>
      </w:r>
      <w:r>
        <w:rPr>
          <w:i/>
        </w:rPr>
        <w:t xml:space="preserve"> </w:t>
      </w:r>
      <w:proofErr w:type="spellStart"/>
      <w:r>
        <w:rPr>
          <w:i/>
        </w:rPr>
        <w:t>Scutellospora</w:t>
      </w:r>
      <w:proofErr w:type="spellEnd"/>
      <w:r w:rsidRPr="00E17C13">
        <w:t>,</w:t>
      </w:r>
      <w:r>
        <w:rPr>
          <w:i/>
        </w:rPr>
        <w:t xml:space="preserve"> Gig</w:t>
      </w:r>
      <w:r w:rsidRPr="00E17C13">
        <w:t>:</w:t>
      </w:r>
      <w:r>
        <w:rPr>
          <w:i/>
        </w:rPr>
        <w:t xml:space="preserve"> </w:t>
      </w:r>
      <w:proofErr w:type="spellStart"/>
      <w:r>
        <w:rPr>
          <w:i/>
        </w:rPr>
        <w:t>Gigaspora</w:t>
      </w:r>
      <w:proofErr w:type="spellEnd"/>
      <w:r w:rsidRPr="00E17C13">
        <w:t>,</w:t>
      </w:r>
      <w:r>
        <w:rPr>
          <w:i/>
        </w:rPr>
        <w:t xml:space="preserve"> Den</w:t>
      </w:r>
      <w:r w:rsidRPr="00E17C13">
        <w:t>:</w:t>
      </w:r>
      <w:r>
        <w:rPr>
          <w:i/>
        </w:rPr>
        <w:t xml:space="preserve"> </w:t>
      </w:r>
      <w:proofErr w:type="spellStart"/>
      <w:r>
        <w:rPr>
          <w:i/>
        </w:rPr>
        <w:t>Dentiscutata</w:t>
      </w:r>
      <w:proofErr w:type="spellEnd"/>
      <w:r w:rsidRPr="00E17C13">
        <w:t>,</w:t>
      </w:r>
      <w:r>
        <w:rPr>
          <w:i/>
        </w:rPr>
        <w:t xml:space="preserve"> </w:t>
      </w:r>
      <w:proofErr w:type="spellStart"/>
      <w:r>
        <w:rPr>
          <w:i/>
        </w:rPr>
        <w:t>Cet</w:t>
      </w:r>
      <w:proofErr w:type="spellEnd"/>
      <w:r w:rsidRPr="00E17C13">
        <w:t>:</w:t>
      </w:r>
      <w:r>
        <w:rPr>
          <w:i/>
        </w:rPr>
        <w:t xml:space="preserve"> </w:t>
      </w:r>
      <w:proofErr w:type="spellStart"/>
      <w:r>
        <w:rPr>
          <w:i/>
        </w:rPr>
        <w:t>Cetraspora</w:t>
      </w:r>
      <w:proofErr w:type="spellEnd"/>
      <w:r w:rsidRPr="00E17C13">
        <w:t>,</w:t>
      </w:r>
      <w:r>
        <w:rPr>
          <w:i/>
        </w:rPr>
        <w:t xml:space="preserve"> </w:t>
      </w:r>
      <w:proofErr w:type="spellStart"/>
      <w:r>
        <w:rPr>
          <w:i/>
        </w:rPr>
        <w:t>Rac</w:t>
      </w:r>
      <w:proofErr w:type="spellEnd"/>
      <w:r w:rsidRPr="00E17C13">
        <w:t>:</w:t>
      </w:r>
      <w:r>
        <w:rPr>
          <w:i/>
        </w:rPr>
        <w:t xml:space="preserve"> </w:t>
      </w:r>
      <w:proofErr w:type="spellStart"/>
      <w:r>
        <w:rPr>
          <w:i/>
        </w:rPr>
        <w:t>Racocetra</w:t>
      </w:r>
      <w:proofErr w:type="spellEnd"/>
      <w:r w:rsidRPr="00E17C13">
        <w:t>,</w:t>
      </w:r>
      <w:r>
        <w:rPr>
          <w:i/>
        </w:rPr>
        <w:t xml:space="preserve"> Pac</w:t>
      </w:r>
      <w:r w:rsidRPr="00E17C13">
        <w:t>:</w:t>
      </w:r>
      <w:r>
        <w:rPr>
          <w:i/>
        </w:rPr>
        <w:t xml:space="preserve"> </w:t>
      </w:r>
      <w:proofErr w:type="spellStart"/>
      <w:r>
        <w:rPr>
          <w:i/>
        </w:rPr>
        <w:t>Pacispora</w:t>
      </w:r>
      <w:proofErr w:type="spellEnd"/>
      <w:r w:rsidRPr="00E17C13">
        <w:t>,</w:t>
      </w:r>
      <w:r>
        <w:rPr>
          <w:i/>
        </w:rPr>
        <w:t xml:space="preserve"> </w:t>
      </w:r>
      <w:proofErr w:type="spellStart"/>
      <w:r>
        <w:rPr>
          <w:i/>
        </w:rPr>
        <w:t>Div</w:t>
      </w:r>
      <w:proofErr w:type="spellEnd"/>
      <w:r w:rsidRPr="00E17C13">
        <w:t>:</w:t>
      </w:r>
      <w:r>
        <w:rPr>
          <w:i/>
        </w:rPr>
        <w:t xml:space="preserve"> </w:t>
      </w:r>
      <w:proofErr w:type="spellStart"/>
      <w:r>
        <w:rPr>
          <w:i/>
        </w:rPr>
        <w:t>Diversispora</w:t>
      </w:r>
      <w:proofErr w:type="spellEnd"/>
      <w:r w:rsidRPr="00E17C13">
        <w:t>,</w:t>
      </w:r>
      <w:r>
        <w:rPr>
          <w:i/>
        </w:rPr>
        <w:t xml:space="preserve"> </w:t>
      </w:r>
      <w:r>
        <w:t xml:space="preserve">and </w:t>
      </w:r>
      <w:proofErr w:type="spellStart"/>
      <w:r>
        <w:rPr>
          <w:i/>
        </w:rPr>
        <w:t>Aca</w:t>
      </w:r>
      <w:proofErr w:type="spellEnd"/>
      <w:r w:rsidRPr="00E17C13">
        <w:t>:</w:t>
      </w:r>
      <w:r>
        <w:rPr>
          <w:i/>
        </w:rPr>
        <w:t xml:space="preserve"> </w:t>
      </w:r>
      <w:proofErr w:type="spellStart"/>
      <w:r>
        <w:rPr>
          <w:i/>
        </w:rPr>
        <w:t>Acaulospora</w:t>
      </w:r>
      <w:proofErr w:type="spellEnd"/>
      <w:r>
        <w:t>.</w:t>
      </w:r>
    </w:p>
    <w:p w14:paraId="1D3DDA1E" w14:textId="77777777" w:rsidR="00874649" w:rsidRDefault="00874649">
      <w:pPr>
        <w:rPr>
          <w:rFonts w:cs="Times New Roman"/>
          <w:noProof/>
        </w:rPr>
      </w:pPr>
    </w:p>
    <w:p w14:paraId="68E57B9A" w14:textId="77777777" w:rsidR="00874649" w:rsidRDefault="00874649">
      <w:pPr>
        <w:rPr>
          <w:rFonts w:cs="Times New Roman"/>
          <w:noProof/>
        </w:rPr>
      </w:pPr>
    </w:p>
    <w:p w14:paraId="46C3A075" w14:textId="77777777" w:rsidR="00874649" w:rsidRDefault="00874649">
      <w:pPr>
        <w:rPr>
          <w:rFonts w:cs="Times New Roman"/>
          <w:noProof/>
        </w:rPr>
      </w:pPr>
    </w:p>
    <w:p w14:paraId="59EF765A" w14:textId="77777777" w:rsidR="00874649" w:rsidRDefault="00874649">
      <w:pPr>
        <w:rPr>
          <w:rFonts w:cs="Times New Roman"/>
          <w:noProof/>
        </w:rPr>
      </w:pPr>
    </w:p>
    <w:p w14:paraId="529C5055" w14:textId="77777777" w:rsidR="005949B9" w:rsidRDefault="005949B9">
      <w:pPr>
        <w:rPr>
          <w:rFonts w:cs="Times New Roman"/>
          <w:noProof/>
        </w:rPr>
        <w:sectPr w:rsidR="005949B9" w:rsidSect="00874649">
          <w:footerReference w:type="even" r:id="rId8"/>
          <w:footerReference w:type="default" r:id="rId9"/>
          <w:pgSz w:w="12240" w:h="15840"/>
          <w:pgMar w:top="1440" w:right="1440" w:bottom="1440" w:left="1440" w:header="720" w:footer="720" w:gutter="0"/>
          <w:cols w:space="720"/>
        </w:sectPr>
      </w:pPr>
    </w:p>
    <w:p w14:paraId="51C2AD76" w14:textId="77777777" w:rsidR="00874649" w:rsidRDefault="00874649">
      <w:pPr>
        <w:rPr>
          <w:rFonts w:cs="Times New Roman"/>
          <w:noProof/>
        </w:rPr>
      </w:pPr>
      <w:r>
        <w:rPr>
          <w:rFonts w:cs="Times New Roman"/>
          <w:noProof/>
        </w:rPr>
        <w:drawing>
          <wp:anchor distT="0" distB="0" distL="114300" distR="114300" simplePos="0" relativeHeight="251658240" behindDoc="0" locked="0" layoutInCell="1" allowOverlap="1" wp14:anchorId="4ED936DE" wp14:editId="7E1AB4FE">
            <wp:simplePos x="0" y="0"/>
            <wp:positionH relativeFrom="column">
              <wp:posOffset>0</wp:posOffset>
            </wp:positionH>
            <wp:positionV relativeFrom="paragraph">
              <wp:posOffset>0</wp:posOffset>
            </wp:positionV>
            <wp:extent cx="3129915" cy="6400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F_ClusterManuscript_Fig3_ClustCompareDraft_4.png"/>
                    <pic:cNvPicPr/>
                  </pic:nvPicPr>
                  <pic:blipFill>
                    <a:blip r:embed="rId10">
                      <a:extLst>
                        <a:ext uri="{28A0092B-C50C-407E-A947-70E740481C1C}">
                          <a14:useLocalDpi xmlns:a14="http://schemas.microsoft.com/office/drawing/2010/main" val="0"/>
                        </a:ext>
                      </a:extLst>
                    </a:blip>
                    <a:stretch>
                      <a:fillRect/>
                    </a:stretch>
                  </pic:blipFill>
                  <pic:spPr>
                    <a:xfrm>
                      <a:off x="0" y="0"/>
                      <a:ext cx="3129915" cy="6400800"/>
                    </a:xfrm>
                    <a:prstGeom prst="rect">
                      <a:avLst/>
                    </a:prstGeom>
                  </pic:spPr>
                </pic:pic>
              </a:graphicData>
            </a:graphic>
            <wp14:sizeRelH relativeFrom="page">
              <wp14:pctWidth>0</wp14:pctWidth>
            </wp14:sizeRelH>
            <wp14:sizeRelV relativeFrom="page">
              <wp14:pctHeight>0</wp14:pctHeight>
            </wp14:sizeRelV>
          </wp:anchor>
        </w:drawing>
      </w:r>
    </w:p>
    <w:p w14:paraId="348566E1" w14:textId="77777777" w:rsidR="00874649" w:rsidRDefault="00874649">
      <w:pPr>
        <w:rPr>
          <w:rFonts w:cs="Times New Roman"/>
          <w:noProof/>
        </w:rPr>
      </w:pPr>
    </w:p>
    <w:p w14:paraId="7CC88580" w14:textId="77777777" w:rsidR="00874649" w:rsidRPr="00B1238B" w:rsidRDefault="00874649" w:rsidP="00874649">
      <w:r>
        <w:t xml:space="preserve">Fig. 4: MDS visualizations of OTU clusters for: left column  – species in the family </w:t>
      </w:r>
      <w:proofErr w:type="spellStart"/>
      <w:r>
        <w:t>Gigasporaceae</w:t>
      </w:r>
      <w:proofErr w:type="spellEnd"/>
      <w:r>
        <w:t xml:space="preserve"> and right column – species in the genus </w:t>
      </w:r>
      <w:r>
        <w:rPr>
          <w:i/>
        </w:rPr>
        <w:t>Rhizophagus</w:t>
      </w:r>
      <w:r>
        <w:t xml:space="preserve">; for both columns the sequences (points) in the top row are colored by the species they were isolated from (the same colors are used as in Fig. 2), and the remaining rows (top to bottom) show the same sequences colored by OTU (with &gt;10 sequences) for each of the four clustering methods: </w:t>
      </w:r>
      <w:proofErr w:type="spellStart"/>
      <w:r>
        <w:t>AbundantOTU</w:t>
      </w:r>
      <w:proofErr w:type="spellEnd"/>
      <w:r>
        <w:t xml:space="preserve"> (second row), CROP (third row), </w:t>
      </w:r>
      <w:proofErr w:type="spellStart"/>
      <w:r>
        <w:t>mothur</w:t>
      </w:r>
      <w:proofErr w:type="spellEnd"/>
      <w:r>
        <w:t xml:space="preserve"> (fourth row), and UPARSE (fifth row). The adjusted Rand index values that in the bottom right-hand corner of each OTU panel quantify the fit of the OTU delineations compared to the known species attribution for each sequence. Larger adjusted Rand index values indicate that sequences originating from the same AM fungal species were more accurately grouped together into the same OTU: all four clustering methods had greater accuracy for the </w:t>
      </w:r>
      <w:proofErr w:type="spellStart"/>
      <w:r>
        <w:t>Gigasporaceae</w:t>
      </w:r>
      <w:proofErr w:type="spellEnd"/>
      <w:r>
        <w:t xml:space="preserve"> with its smaller amount of intraspecific variation compared to </w:t>
      </w:r>
      <w:r>
        <w:rPr>
          <w:i/>
        </w:rPr>
        <w:t>Rhizophagus</w:t>
      </w:r>
      <w:r>
        <w:t xml:space="preserve">, but </w:t>
      </w:r>
      <w:proofErr w:type="spellStart"/>
      <w:r>
        <w:t>AbundantOTU</w:t>
      </w:r>
      <w:proofErr w:type="spellEnd"/>
      <w:r>
        <w:t xml:space="preserve"> and CROP were consistently more accurate than </w:t>
      </w:r>
      <w:proofErr w:type="spellStart"/>
      <w:r>
        <w:t>mothur</w:t>
      </w:r>
      <w:proofErr w:type="spellEnd"/>
      <w:r>
        <w:t xml:space="preserve"> or UPARSE for either group. </w:t>
      </w:r>
    </w:p>
    <w:p w14:paraId="33B66F72" w14:textId="77777777" w:rsidR="00874649" w:rsidRDefault="00874649">
      <w:pPr>
        <w:rPr>
          <w:rFonts w:cs="Times New Roman"/>
          <w:noProof/>
        </w:rPr>
      </w:pPr>
    </w:p>
    <w:p w14:paraId="78DE2A46" w14:textId="77777777" w:rsidR="00874649" w:rsidRDefault="00874649">
      <w:pPr>
        <w:rPr>
          <w:rFonts w:cs="Times New Roman"/>
          <w:noProof/>
        </w:rPr>
      </w:pPr>
    </w:p>
    <w:p w14:paraId="7E08B2AA" w14:textId="77777777" w:rsidR="005949B9" w:rsidRDefault="005949B9">
      <w:pPr>
        <w:rPr>
          <w:rFonts w:cs="Times New Roman"/>
          <w:noProof/>
        </w:rPr>
        <w:sectPr w:rsidR="005949B9" w:rsidSect="005949B9">
          <w:pgSz w:w="15840" w:h="12240" w:orient="landscape"/>
          <w:pgMar w:top="1440" w:right="1440" w:bottom="1440" w:left="1440" w:header="720" w:footer="720" w:gutter="0"/>
          <w:cols w:space="720"/>
          <w:printerSettings r:id="rId11"/>
        </w:sectPr>
      </w:pPr>
    </w:p>
    <w:p w14:paraId="2EBB320C" w14:textId="77777777" w:rsidR="00874649" w:rsidRPr="008F1309" w:rsidRDefault="00874649" w:rsidP="00874649">
      <w:pPr>
        <w:rPr>
          <w:rFonts w:cs="Times New Roman"/>
          <w:noProof/>
        </w:rPr>
      </w:pPr>
      <w:r>
        <w:rPr>
          <w:rFonts w:cs="Times New Roman"/>
          <w:noProof/>
        </w:rPr>
        <w:t>References</w:t>
      </w:r>
    </w:p>
    <w:p w14:paraId="5E7BCDCD" w14:textId="77777777" w:rsidR="00874649" w:rsidRPr="008F1309" w:rsidRDefault="00874649" w:rsidP="00874649">
      <w:pPr>
        <w:jc w:val="center"/>
        <w:rPr>
          <w:rFonts w:cs="Times New Roman"/>
          <w:noProof/>
        </w:rPr>
      </w:pPr>
    </w:p>
    <w:p w14:paraId="4E930A56" w14:textId="77777777" w:rsidR="00874649" w:rsidRDefault="00874649" w:rsidP="00874649">
      <w:pPr>
        <w:ind w:left="720" w:hanging="720"/>
        <w:rPr>
          <w:rFonts w:cs="Times New Roman"/>
          <w:noProof/>
        </w:rPr>
      </w:pPr>
      <w:bookmarkStart w:id="3" w:name="_ENREF_1"/>
      <w:r>
        <w:rPr>
          <w:rFonts w:cs="Times New Roman"/>
          <w:noProof/>
        </w:rPr>
        <w:t>1.</w:t>
      </w:r>
      <w:r>
        <w:rPr>
          <w:rFonts w:cs="Times New Roman"/>
          <w:noProof/>
        </w:rPr>
        <w:tab/>
        <w:t xml:space="preserve">Woese CR &amp; Fox GE (1977) Phylogenetic structure of the prokaryotic domain: the primary kingdoms. </w:t>
      </w:r>
      <w:r w:rsidRPr="008F1309">
        <w:rPr>
          <w:rFonts w:cs="Times New Roman"/>
          <w:i/>
          <w:noProof/>
        </w:rPr>
        <w:t>Proceedings of the National Academy of Sciences</w:t>
      </w:r>
      <w:r>
        <w:rPr>
          <w:rFonts w:cs="Times New Roman"/>
          <w:noProof/>
        </w:rPr>
        <w:t xml:space="preserve"> 74(11):5088-5090.</w:t>
      </w:r>
      <w:bookmarkEnd w:id="3"/>
    </w:p>
    <w:p w14:paraId="7A006F6A" w14:textId="77777777" w:rsidR="00874649" w:rsidRDefault="00874649" w:rsidP="00874649">
      <w:pPr>
        <w:ind w:left="720" w:hanging="720"/>
        <w:rPr>
          <w:rFonts w:cs="Times New Roman"/>
          <w:noProof/>
        </w:rPr>
      </w:pPr>
      <w:bookmarkStart w:id="4" w:name="_ENREF_2"/>
      <w:r>
        <w:rPr>
          <w:rFonts w:cs="Times New Roman"/>
          <w:noProof/>
        </w:rPr>
        <w:t>2.</w:t>
      </w:r>
      <w:r>
        <w:rPr>
          <w:rFonts w:cs="Times New Roman"/>
          <w:noProof/>
        </w:rPr>
        <w:tab/>
        <w:t>Sogin ML</w:t>
      </w:r>
      <w:r w:rsidRPr="008F1309">
        <w:rPr>
          <w:rFonts w:cs="Times New Roman"/>
          <w:i/>
          <w:noProof/>
        </w:rPr>
        <w:t>, et al.</w:t>
      </w:r>
      <w:r>
        <w:rPr>
          <w:rFonts w:cs="Times New Roman"/>
          <w:noProof/>
        </w:rPr>
        <w:t xml:space="preserve"> (2006) Microbial diversity in the deep sea and the underexplored </w:t>
      </w:r>
      <w:r>
        <w:rPr>
          <w:rFonts w:cs="Times New Roman" w:hint="cs"/>
          <w:noProof/>
        </w:rPr>
        <w:t>“</w:t>
      </w:r>
      <w:r>
        <w:rPr>
          <w:rFonts w:cs="Times New Roman"/>
          <w:noProof/>
        </w:rPr>
        <w:t>rare biosphere</w:t>
      </w:r>
      <w:r>
        <w:rPr>
          <w:rFonts w:cs="Times New Roman" w:hint="cs"/>
          <w:noProof/>
        </w:rPr>
        <w:t>”</w:t>
      </w:r>
      <w:r>
        <w:rPr>
          <w:rFonts w:cs="Times New Roman"/>
          <w:noProof/>
        </w:rPr>
        <w:t xml:space="preserve">. </w:t>
      </w:r>
      <w:r w:rsidRPr="008F1309">
        <w:rPr>
          <w:rFonts w:cs="Times New Roman"/>
          <w:i/>
          <w:noProof/>
        </w:rPr>
        <w:t>Proceedings of the National Academy of Sciences</w:t>
      </w:r>
      <w:r>
        <w:rPr>
          <w:rFonts w:cs="Times New Roman"/>
          <w:noProof/>
        </w:rPr>
        <w:t xml:space="preserve"> 103(32):12115-12120.</w:t>
      </w:r>
      <w:bookmarkEnd w:id="4"/>
    </w:p>
    <w:p w14:paraId="7DBF1E1B" w14:textId="77777777" w:rsidR="00874649" w:rsidRDefault="00874649" w:rsidP="00874649">
      <w:pPr>
        <w:ind w:left="720" w:hanging="720"/>
        <w:rPr>
          <w:rFonts w:cs="Times New Roman"/>
          <w:noProof/>
        </w:rPr>
      </w:pPr>
      <w:bookmarkStart w:id="5" w:name="_ENREF_3"/>
      <w:r>
        <w:rPr>
          <w:rFonts w:cs="Times New Roman"/>
          <w:noProof/>
        </w:rPr>
        <w:t>3.</w:t>
      </w:r>
      <w:r>
        <w:rPr>
          <w:rFonts w:cs="Times New Roman"/>
          <w:noProof/>
        </w:rPr>
        <w:tab/>
        <w:t>Ley RE</w:t>
      </w:r>
      <w:r w:rsidRPr="008F1309">
        <w:rPr>
          <w:rFonts w:cs="Times New Roman"/>
          <w:i/>
          <w:noProof/>
        </w:rPr>
        <w:t>, et al.</w:t>
      </w:r>
      <w:r>
        <w:rPr>
          <w:rFonts w:cs="Times New Roman"/>
          <w:noProof/>
        </w:rPr>
        <w:t xml:space="preserve"> (2008) Evolution of mammals and their gut microbes. </w:t>
      </w:r>
      <w:r w:rsidRPr="008F1309">
        <w:rPr>
          <w:rFonts w:cs="Times New Roman"/>
          <w:i/>
          <w:noProof/>
        </w:rPr>
        <w:t>Science</w:t>
      </w:r>
      <w:r>
        <w:rPr>
          <w:rFonts w:cs="Times New Roman"/>
          <w:noProof/>
        </w:rPr>
        <w:t xml:space="preserve"> 320(5883):1647-1651.</w:t>
      </w:r>
      <w:bookmarkEnd w:id="5"/>
    </w:p>
    <w:p w14:paraId="27F2E187" w14:textId="77777777" w:rsidR="00874649" w:rsidRDefault="00874649" w:rsidP="00874649">
      <w:pPr>
        <w:ind w:left="720" w:hanging="720"/>
        <w:rPr>
          <w:rFonts w:cs="Times New Roman"/>
          <w:noProof/>
        </w:rPr>
      </w:pPr>
      <w:bookmarkStart w:id="6" w:name="_ENREF_4"/>
      <w:r>
        <w:rPr>
          <w:rFonts w:cs="Times New Roman"/>
          <w:noProof/>
        </w:rPr>
        <w:t>4.</w:t>
      </w:r>
      <w:r>
        <w:rPr>
          <w:rFonts w:cs="Times New Roman"/>
          <w:noProof/>
        </w:rPr>
        <w:tab/>
        <w:t xml:space="preserve">Smith SE &amp; Read DJ (2008) </w:t>
      </w:r>
      <w:r w:rsidRPr="008F1309">
        <w:rPr>
          <w:rFonts w:cs="Times New Roman"/>
          <w:i/>
          <w:noProof/>
        </w:rPr>
        <w:t>Mycorrhizal symbiosis</w:t>
      </w:r>
      <w:r>
        <w:rPr>
          <w:rFonts w:cs="Times New Roman"/>
          <w:noProof/>
        </w:rPr>
        <w:t xml:space="preserve"> (Academic press).</w:t>
      </w:r>
      <w:bookmarkEnd w:id="6"/>
    </w:p>
    <w:p w14:paraId="2BC2CB4A" w14:textId="77777777" w:rsidR="00874649" w:rsidRDefault="00874649" w:rsidP="00874649">
      <w:pPr>
        <w:ind w:left="720" w:hanging="720"/>
        <w:rPr>
          <w:rFonts w:cs="Times New Roman"/>
          <w:noProof/>
        </w:rPr>
      </w:pPr>
      <w:bookmarkStart w:id="7" w:name="_ENREF_5"/>
      <w:r>
        <w:rPr>
          <w:rFonts w:cs="Times New Roman"/>
          <w:noProof/>
        </w:rPr>
        <w:t>5.</w:t>
      </w:r>
      <w:r>
        <w:rPr>
          <w:rFonts w:cs="Times New Roman"/>
          <w:noProof/>
        </w:rPr>
        <w:tab/>
        <w:t xml:space="preserve">Hartnett DC &amp; Wilson GWT (1999) Mycorrhizae influence plant community structure and diversity in tallgrass prairie. </w:t>
      </w:r>
      <w:r w:rsidRPr="008F1309">
        <w:rPr>
          <w:rFonts w:cs="Times New Roman"/>
          <w:i/>
          <w:noProof/>
        </w:rPr>
        <w:t>Ecology</w:t>
      </w:r>
      <w:r>
        <w:rPr>
          <w:rFonts w:cs="Times New Roman"/>
          <w:noProof/>
        </w:rPr>
        <w:t xml:space="preserve"> 80(4):1187-1195.</w:t>
      </w:r>
      <w:bookmarkEnd w:id="7"/>
    </w:p>
    <w:p w14:paraId="6AFDA827" w14:textId="77777777" w:rsidR="00874649" w:rsidRDefault="00874649" w:rsidP="00874649">
      <w:pPr>
        <w:ind w:left="720" w:hanging="720"/>
        <w:rPr>
          <w:rFonts w:cs="Times New Roman"/>
          <w:noProof/>
        </w:rPr>
      </w:pPr>
      <w:bookmarkStart w:id="8" w:name="_ENREF_6"/>
      <w:r>
        <w:rPr>
          <w:rFonts w:cs="Times New Roman"/>
          <w:noProof/>
        </w:rPr>
        <w:t>6.</w:t>
      </w:r>
      <w:r>
        <w:rPr>
          <w:rFonts w:cs="Times New Roman"/>
          <w:noProof/>
        </w:rPr>
        <w:tab/>
        <w:t>van der Heijden MGA</w:t>
      </w:r>
      <w:r w:rsidRPr="008F1309">
        <w:rPr>
          <w:rFonts w:cs="Times New Roman"/>
          <w:i/>
          <w:noProof/>
        </w:rPr>
        <w:t>, et al.</w:t>
      </w:r>
      <w:r>
        <w:rPr>
          <w:rFonts w:cs="Times New Roman"/>
          <w:noProof/>
        </w:rPr>
        <w:t xml:space="preserve"> (1998) Mycorrhizal fungal diversity determines plant biodiversity, ecosystem variability and productivity. </w:t>
      </w:r>
      <w:r w:rsidRPr="008F1309">
        <w:rPr>
          <w:rFonts w:cs="Times New Roman"/>
          <w:i/>
          <w:noProof/>
        </w:rPr>
        <w:t>Nature</w:t>
      </w:r>
      <w:r>
        <w:rPr>
          <w:rFonts w:cs="Times New Roman"/>
          <w:noProof/>
        </w:rPr>
        <w:t xml:space="preserve"> 396(6706):69-72.</w:t>
      </w:r>
      <w:bookmarkEnd w:id="8"/>
    </w:p>
    <w:p w14:paraId="2028CAF1" w14:textId="77777777" w:rsidR="00874649" w:rsidRDefault="00874649" w:rsidP="00874649">
      <w:pPr>
        <w:ind w:left="720" w:hanging="720"/>
        <w:rPr>
          <w:rFonts w:cs="Times New Roman"/>
          <w:noProof/>
        </w:rPr>
      </w:pPr>
      <w:bookmarkStart w:id="9" w:name="_ENREF_7"/>
      <w:r>
        <w:rPr>
          <w:rFonts w:cs="Times New Roman"/>
          <w:noProof/>
        </w:rPr>
        <w:t>7.</w:t>
      </w:r>
      <w:r>
        <w:rPr>
          <w:rFonts w:cs="Times New Roman"/>
          <w:noProof/>
        </w:rPr>
        <w:tab/>
        <w:t xml:space="preserve">Vogelsang KM, Reynolds HL, &amp; Bever JD (2006) Mycorrhizal fungal identity and richness determine the diversity and productivity of a tallgrass prairie system. </w:t>
      </w:r>
      <w:r w:rsidRPr="008F1309">
        <w:rPr>
          <w:rFonts w:cs="Times New Roman"/>
          <w:i/>
          <w:noProof/>
        </w:rPr>
        <w:t>New Phytologist</w:t>
      </w:r>
      <w:r>
        <w:rPr>
          <w:rFonts w:cs="Times New Roman"/>
          <w:noProof/>
        </w:rPr>
        <w:t xml:space="preserve"> 172(3):554-562.</w:t>
      </w:r>
      <w:bookmarkEnd w:id="9"/>
    </w:p>
    <w:p w14:paraId="57FE533F" w14:textId="77777777" w:rsidR="00874649" w:rsidRDefault="00874649" w:rsidP="00874649">
      <w:pPr>
        <w:ind w:left="720" w:hanging="720"/>
        <w:rPr>
          <w:rFonts w:cs="Times New Roman"/>
          <w:noProof/>
        </w:rPr>
      </w:pPr>
      <w:bookmarkStart w:id="10" w:name="_ENREF_8"/>
      <w:r>
        <w:rPr>
          <w:rFonts w:cs="Times New Roman"/>
          <w:noProof/>
        </w:rPr>
        <w:t>8.</w:t>
      </w:r>
      <w:r>
        <w:rPr>
          <w:rFonts w:cs="Times New Roman"/>
          <w:noProof/>
        </w:rPr>
        <w:tab/>
        <w:t>Tedersoo L</w:t>
      </w:r>
      <w:r w:rsidRPr="008F1309">
        <w:rPr>
          <w:rFonts w:cs="Times New Roman"/>
          <w:i/>
          <w:noProof/>
        </w:rPr>
        <w:t>, et al.</w:t>
      </w:r>
      <w:r>
        <w:rPr>
          <w:rFonts w:cs="Times New Roman"/>
          <w:noProof/>
        </w:rPr>
        <w:t xml:space="preserve"> (2014) Global diversity and geography of soil fungi. </w:t>
      </w:r>
      <w:r w:rsidRPr="008F1309">
        <w:rPr>
          <w:rFonts w:cs="Times New Roman"/>
          <w:i/>
          <w:noProof/>
        </w:rPr>
        <w:t>Science</w:t>
      </w:r>
      <w:r>
        <w:rPr>
          <w:rFonts w:cs="Times New Roman"/>
          <w:noProof/>
        </w:rPr>
        <w:t xml:space="preserve"> 346(6213).</w:t>
      </w:r>
      <w:bookmarkEnd w:id="10"/>
    </w:p>
    <w:p w14:paraId="52CC6D9B" w14:textId="77777777" w:rsidR="00874649" w:rsidRDefault="00874649" w:rsidP="00874649">
      <w:pPr>
        <w:ind w:left="720" w:hanging="720"/>
        <w:rPr>
          <w:rFonts w:cs="Times New Roman"/>
          <w:noProof/>
        </w:rPr>
      </w:pPr>
      <w:bookmarkStart w:id="11" w:name="_ENREF_9"/>
      <w:r>
        <w:rPr>
          <w:rFonts w:cs="Times New Roman"/>
          <w:noProof/>
        </w:rPr>
        <w:t>9.</w:t>
      </w:r>
      <w:r>
        <w:rPr>
          <w:rFonts w:cs="Times New Roman"/>
          <w:noProof/>
        </w:rPr>
        <w:tab/>
        <w:t xml:space="preserve">Nilsson RH, Kristiansson E, Ryberg M, Hallenberg N, &amp; Larsson K-H (2008) Intraspecific ITS variability in the kingdom Fungi as expressed in the international sequence databases and its implications for molecular species identification. </w:t>
      </w:r>
      <w:r w:rsidRPr="008F1309">
        <w:rPr>
          <w:rFonts w:cs="Times New Roman"/>
          <w:i/>
          <w:noProof/>
        </w:rPr>
        <w:t>Evolutionary Bioinformatics</w:t>
      </w:r>
      <w:r>
        <w:rPr>
          <w:rFonts w:cs="Times New Roman"/>
          <w:noProof/>
        </w:rPr>
        <w:t xml:space="preserve"> 4:193-201.</w:t>
      </w:r>
      <w:bookmarkEnd w:id="11"/>
    </w:p>
    <w:p w14:paraId="0795A55C" w14:textId="77777777" w:rsidR="00874649" w:rsidRDefault="00874649" w:rsidP="00874649">
      <w:pPr>
        <w:ind w:left="720" w:hanging="720"/>
        <w:rPr>
          <w:rFonts w:cs="Times New Roman"/>
          <w:noProof/>
        </w:rPr>
      </w:pPr>
      <w:bookmarkStart w:id="12" w:name="_ENREF_10"/>
      <w:r>
        <w:rPr>
          <w:rFonts w:cs="Times New Roman"/>
          <w:noProof/>
        </w:rPr>
        <w:t>10.</w:t>
      </w:r>
      <w:r>
        <w:rPr>
          <w:rFonts w:cs="Times New Roman"/>
          <w:noProof/>
        </w:rPr>
        <w:tab/>
        <w:t xml:space="preserve">Sanders IR, Alt M, Groppe K, Boller T, &amp; Wiemken A (1995) Identification of ribosomal DNA polymorphisms among and within spores of the Glomales: application to studies on the genetic diversity of arbuscular mycorrhizal fungal communities. </w:t>
      </w:r>
      <w:r w:rsidRPr="008F1309">
        <w:rPr>
          <w:rFonts w:cs="Times New Roman"/>
          <w:i/>
          <w:noProof/>
        </w:rPr>
        <w:t>New Phytologist</w:t>
      </w:r>
      <w:r>
        <w:rPr>
          <w:rFonts w:cs="Times New Roman"/>
          <w:noProof/>
        </w:rPr>
        <w:t xml:space="preserve"> 130(3):419-427.</w:t>
      </w:r>
      <w:bookmarkEnd w:id="12"/>
    </w:p>
    <w:p w14:paraId="12F569EE" w14:textId="77777777" w:rsidR="00874649" w:rsidRDefault="00874649" w:rsidP="00874649">
      <w:pPr>
        <w:ind w:left="720" w:hanging="720"/>
        <w:rPr>
          <w:rFonts w:cs="Times New Roman"/>
          <w:noProof/>
        </w:rPr>
      </w:pPr>
      <w:bookmarkStart w:id="13" w:name="_ENREF_12"/>
      <w:bookmarkStart w:id="14" w:name="_ENREF_11"/>
      <w:r>
        <w:rPr>
          <w:rFonts w:cs="Times New Roman"/>
          <w:noProof/>
        </w:rPr>
        <w:t>11.</w:t>
      </w:r>
      <w:r>
        <w:rPr>
          <w:rFonts w:cs="Times New Roman"/>
          <w:noProof/>
        </w:rPr>
        <w:tab/>
        <w:t xml:space="preserve">Clapp JP, Fitter AH, &amp; Young JPW (1999) Ribosomal small subunit sequence variation within spores of an arbuscular mycorrhizal fungus, </w:t>
      </w:r>
      <w:r w:rsidRPr="00BD52B0">
        <w:rPr>
          <w:rFonts w:cs="Times New Roman"/>
          <w:i/>
          <w:noProof/>
        </w:rPr>
        <w:t>Scutellospora</w:t>
      </w:r>
      <w:r>
        <w:rPr>
          <w:rFonts w:cs="Times New Roman"/>
          <w:noProof/>
        </w:rPr>
        <w:t xml:space="preserve"> sp. </w:t>
      </w:r>
      <w:r w:rsidRPr="00BD52B0">
        <w:rPr>
          <w:rFonts w:cs="Times New Roman"/>
          <w:i/>
          <w:noProof/>
        </w:rPr>
        <w:t>Molecular Ecology</w:t>
      </w:r>
      <w:r>
        <w:rPr>
          <w:rFonts w:cs="Times New Roman"/>
          <w:noProof/>
        </w:rPr>
        <w:t xml:space="preserve"> 8(6):915.</w:t>
      </w:r>
      <w:bookmarkEnd w:id="14"/>
    </w:p>
    <w:p w14:paraId="6BED8914" w14:textId="77777777" w:rsidR="00874649" w:rsidRDefault="00874649" w:rsidP="00874649">
      <w:pPr>
        <w:ind w:left="720" w:hanging="720"/>
        <w:rPr>
          <w:rFonts w:cs="Times New Roman"/>
          <w:noProof/>
        </w:rPr>
      </w:pPr>
      <w:r>
        <w:rPr>
          <w:rFonts w:cs="Times New Roman"/>
          <w:noProof/>
        </w:rPr>
        <w:t>12.</w:t>
      </w:r>
      <w:r>
        <w:rPr>
          <w:rFonts w:cs="Times New Roman"/>
          <w:noProof/>
        </w:rPr>
        <w:tab/>
        <w:t xml:space="preserve">Morton JB (2009) Reconciliation of conflicting phenotypic and rRNA gene phylogenies of fungi in Glomeromycota based on underlying patterns and processes. </w:t>
      </w:r>
      <w:r w:rsidRPr="008F1309">
        <w:rPr>
          <w:rFonts w:cs="Times New Roman"/>
          <w:i/>
          <w:noProof/>
        </w:rPr>
        <w:t>Mycorrhizas - Functional processes and ecological impact</w:t>
      </w:r>
      <w:r>
        <w:rPr>
          <w:rFonts w:cs="Times New Roman"/>
          <w:noProof/>
        </w:rPr>
        <w:t>, eds Azc</w:t>
      </w:r>
      <w:r>
        <w:rPr>
          <w:rFonts w:cs="Times New Roman" w:hint="cs"/>
          <w:noProof/>
        </w:rPr>
        <w:t>ó</w:t>
      </w:r>
      <w:r>
        <w:rPr>
          <w:rFonts w:cs="Times New Roman"/>
          <w:noProof/>
        </w:rPr>
        <w:t>n-Aguilar C, Barea JM, Gianinazzi S, &amp; Gianinazzi-Pearson V (Springer, Berlin).</w:t>
      </w:r>
      <w:bookmarkEnd w:id="13"/>
    </w:p>
    <w:p w14:paraId="12B0B842" w14:textId="77777777" w:rsidR="00874649" w:rsidRDefault="00874649" w:rsidP="00874649">
      <w:pPr>
        <w:ind w:left="720" w:hanging="720"/>
        <w:rPr>
          <w:rFonts w:cs="Times New Roman"/>
          <w:noProof/>
        </w:rPr>
      </w:pPr>
      <w:bookmarkStart w:id="15" w:name="_ENREF_13"/>
      <w:r>
        <w:rPr>
          <w:rFonts w:cs="Times New Roman"/>
          <w:noProof/>
        </w:rPr>
        <w:t>13.</w:t>
      </w:r>
      <w:r>
        <w:rPr>
          <w:rFonts w:cs="Times New Roman"/>
          <w:noProof/>
        </w:rPr>
        <w:tab/>
        <w:t xml:space="preserve">Kaonongbua W, Morton JB, &amp; Bever JD (2010) Taxonomic revision transferring species in </w:t>
      </w:r>
      <w:r w:rsidRPr="008F1309">
        <w:rPr>
          <w:rFonts w:cs="Times New Roman"/>
          <w:i/>
          <w:noProof/>
        </w:rPr>
        <w:t>Kuklospora</w:t>
      </w:r>
      <w:r>
        <w:rPr>
          <w:rFonts w:cs="Times New Roman"/>
          <w:noProof/>
        </w:rPr>
        <w:t xml:space="preserve"> to </w:t>
      </w:r>
      <w:r w:rsidRPr="008F1309">
        <w:rPr>
          <w:rFonts w:cs="Times New Roman"/>
          <w:i/>
          <w:noProof/>
        </w:rPr>
        <w:t>Acaulospora</w:t>
      </w:r>
      <w:r>
        <w:rPr>
          <w:rFonts w:cs="Times New Roman"/>
          <w:noProof/>
        </w:rPr>
        <w:t xml:space="preserve"> (Glomeromycota) and a description of </w:t>
      </w:r>
      <w:r w:rsidRPr="008F1309">
        <w:rPr>
          <w:rFonts w:cs="Times New Roman"/>
          <w:i/>
          <w:noProof/>
        </w:rPr>
        <w:t>Acaulospora colliculosa</w:t>
      </w:r>
      <w:r>
        <w:rPr>
          <w:rFonts w:cs="Times New Roman"/>
          <w:noProof/>
        </w:rPr>
        <w:t xml:space="preserve"> sp. nov. from field collected spores. </w:t>
      </w:r>
      <w:r w:rsidRPr="008F1309">
        <w:rPr>
          <w:rFonts w:cs="Times New Roman"/>
          <w:i/>
          <w:noProof/>
        </w:rPr>
        <w:t>Mycologia</w:t>
      </w:r>
      <w:r>
        <w:rPr>
          <w:rFonts w:cs="Times New Roman"/>
          <w:noProof/>
        </w:rPr>
        <w:t xml:space="preserve"> 102(6):1497-1509.</w:t>
      </w:r>
      <w:bookmarkEnd w:id="15"/>
    </w:p>
    <w:p w14:paraId="20997659" w14:textId="77777777" w:rsidR="00874649" w:rsidRDefault="00874649" w:rsidP="00874649">
      <w:pPr>
        <w:ind w:left="720" w:hanging="720"/>
        <w:rPr>
          <w:rFonts w:cs="Times New Roman"/>
          <w:noProof/>
        </w:rPr>
      </w:pPr>
      <w:bookmarkStart w:id="16" w:name="_ENREF_14"/>
      <w:r>
        <w:rPr>
          <w:rFonts w:cs="Times New Roman"/>
          <w:noProof/>
        </w:rPr>
        <w:t>14.</w:t>
      </w:r>
      <w:r>
        <w:rPr>
          <w:rFonts w:cs="Times New Roman"/>
          <w:noProof/>
        </w:rPr>
        <w:tab/>
        <w:t>Redecker D</w:t>
      </w:r>
      <w:r w:rsidRPr="008F1309">
        <w:rPr>
          <w:rFonts w:cs="Times New Roman"/>
          <w:i/>
          <w:noProof/>
        </w:rPr>
        <w:t>, et al.</w:t>
      </w:r>
      <w:r>
        <w:rPr>
          <w:rFonts w:cs="Times New Roman"/>
          <w:noProof/>
        </w:rPr>
        <w:t xml:space="preserve"> (2013) An evidence-based consensus for the classification of arbuscular mycorrhizal fungi (Glomeromycota). </w:t>
      </w:r>
      <w:r w:rsidRPr="008F1309">
        <w:rPr>
          <w:rFonts w:cs="Times New Roman"/>
          <w:i/>
          <w:noProof/>
        </w:rPr>
        <w:t>Mycorrhiza</w:t>
      </w:r>
      <w:r>
        <w:rPr>
          <w:rFonts w:cs="Times New Roman"/>
          <w:noProof/>
        </w:rPr>
        <w:t xml:space="preserve"> 23(7):515-531.</w:t>
      </w:r>
      <w:bookmarkEnd w:id="16"/>
    </w:p>
    <w:p w14:paraId="3A5DFAEA" w14:textId="77777777" w:rsidR="00874649" w:rsidRDefault="00874649" w:rsidP="00874649">
      <w:pPr>
        <w:ind w:left="720" w:hanging="720"/>
        <w:rPr>
          <w:rFonts w:cs="Times New Roman"/>
          <w:noProof/>
        </w:rPr>
      </w:pPr>
      <w:bookmarkStart w:id="17" w:name="_ENREF_15"/>
      <w:r>
        <w:rPr>
          <w:rFonts w:cs="Times New Roman"/>
          <w:noProof/>
        </w:rPr>
        <w:t>15.</w:t>
      </w:r>
      <w:r>
        <w:rPr>
          <w:rFonts w:cs="Times New Roman"/>
          <w:noProof/>
        </w:rPr>
        <w:tab/>
        <w:t>Tisserant E</w:t>
      </w:r>
      <w:r w:rsidRPr="008F1309">
        <w:rPr>
          <w:rFonts w:cs="Times New Roman"/>
          <w:i/>
          <w:noProof/>
        </w:rPr>
        <w:t>, et al.</w:t>
      </w:r>
      <w:r>
        <w:rPr>
          <w:rFonts w:cs="Times New Roman"/>
          <w:noProof/>
        </w:rPr>
        <w:t xml:space="preserve"> (2013) Genome of an arbuscular mycorrhizal fungus provides insight into the oldest plant symbiosis. </w:t>
      </w:r>
      <w:r w:rsidRPr="008F1309">
        <w:rPr>
          <w:rFonts w:cs="Times New Roman"/>
          <w:i/>
          <w:noProof/>
        </w:rPr>
        <w:t>Proceedings of the National Academy of Sciences</w:t>
      </w:r>
      <w:r>
        <w:rPr>
          <w:rFonts w:cs="Times New Roman"/>
          <w:noProof/>
        </w:rPr>
        <w:t xml:space="preserve"> 110(50):20117-20122.</w:t>
      </w:r>
      <w:bookmarkEnd w:id="17"/>
    </w:p>
    <w:p w14:paraId="426FC0E5" w14:textId="77777777" w:rsidR="00874649" w:rsidRDefault="00874649" w:rsidP="00874649">
      <w:pPr>
        <w:ind w:left="720" w:hanging="720"/>
        <w:rPr>
          <w:rFonts w:cs="Times New Roman"/>
          <w:noProof/>
        </w:rPr>
      </w:pPr>
      <w:bookmarkStart w:id="18" w:name="_ENREF_16"/>
      <w:r>
        <w:rPr>
          <w:rFonts w:cs="Times New Roman"/>
          <w:noProof/>
        </w:rPr>
        <w:t>16.</w:t>
      </w:r>
      <w:r>
        <w:rPr>
          <w:rFonts w:cs="Times New Roman"/>
          <w:noProof/>
        </w:rPr>
        <w:tab/>
        <w:t xml:space="preserve">Boon E, Halary S, Bapteste E, &amp; Hijri M (2015) Studying genome heterogeneity within the arbuscular mycorrhizal fungal cytoplasm. </w:t>
      </w:r>
      <w:r w:rsidRPr="008F1309">
        <w:rPr>
          <w:rFonts w:cs="Times New Roman"/>
          <w:i/>
          <w:noProof/>
        </w:rPr>
        <w:t>Genome Biology and Evolution</w:t>
      </w:r>
      <w:r>
        <w:rPr>
          <w:rFonts w:cs="Times New Roman"/>
          <w:noProof/>
        </w:rPr>
        <w:t xml:space="preserve"> 7:505-521.</w:t>
      </w:r>
      <w:bookmarkEnd w:id="18"/>
    </w:p>
    <w:p w14:paraId="5447DB85" w14:textId="77777777" w:rsidR="00874649" w:rsidRDefault="00874649" w:rsidP="00874649">
      <w:pPr>
        <w:ind w:left="720" w:hanging="720"/>
        <w:rPr>
          <w:rFonts w:cs="Times New Roman"/>
          <w:noProof/>
        </w:rPr>
      </w:pPr>
      <w:bookmarkStart w:id="19" w:name="_ENREF_17"/>
      <w:r>
        <w:rPr>
          <w:rFonts w:cs="Times New Roman"/>
          <w:noProof/>
        </w:rPr>
        <w:t>17.</w:t>
      </w:r>
      <w:r>
        <w:rPr>
          <w:rFonts w:cs="Times New Roman"/>
          <w:noProof/>
        </w:rPr>
        <w:tab/>
        <w:t>Lin K</w:t>
      </w:r>
      <w:r w:rsidRPr="008F1309">
        <w:rPr>
          <w:rFonts w:cs="Times New Roman"/>
          <w:i/>
          <w:noProof/>
        </w:rPr>
        <w:t>, et al.</w:t>
      </w:r>
      <w:r>
        <w:rPr>
          <w:rFonts w:cs="Times New Roman"/>
          <w:noProof/>
        </w:rPr>
        <w:t xml:space="preserve"> (2014) Single nucleus genome sequencing reveals high similarity among nuclei of an endomycorrhizal fungus. </w:t>
      </w:r>
      <w:r w:rsidRPr="008F1309">
        <w:rPr>
          <w:rFonts w:cs="Times New Roman"/>
          <w:i/>
          <w:noProof/>
        </w:rPr>
        <w:t>PLoS Genet</w:t>
      </w:r>
      <w:r>
        <w:rPr>
          <w:rFonts w:cs="Times New Roman"/>
          <w:noProof/>
        </w:rPr>
        <w:t xml:space="preserve"> 10(1):e1004078.</w:t>
      </w:r>
      <w:bookmarkEnd w:id="19"/>
    </w:p>
    <w:p w14:paraId="63BD5E59" w14:textId="77777777" w:rsidR="00874649" w:rsidRDefault="00874649" w:rsidP="00874649">
      <w:pPr>
        <w:ind w:left="720" w:hanging="720"/>
        <w:rPr>
          <w:rFonts w:cs="Times New Roman"/>
          <w:noProof/>
        </w:rPr>
      </w:pPr>
      <w:bookmarkStart w:id="20" w:name="_ENREF_18"/>
      <w:r>
        <w:rPr>
          <w:rFonts w:cs="Times New Roman"/>
          <w:noProof/>
        </w:rPr>
        <w:t>18.</w:t>
      </w:r>
      <w:r>
        <w:rPr>
          <w:rFonts w:cs="Times New Roman"/>
          <w:noProof/>
        </w:rPr>
        <w:tab/>
        <w:t>Kr</w:t>
      </w:r>
      <w:r>
        <w:rPr>
          <w:rFonts w:cs="Times New Roman" w:hint="cs"/>
          <w:noProof/>
        </w:rPr>
        <w:t>ü</w:t>
      </w:r>
      <w:r>
        <w:rPr>
          <w:rFonts w:cs="Times New Roman"/>
          <w:noProof/>
        </w:rPr>
        <w:t>ger M, Kr</w:t>
      </w:r>
      <w:r>
        <w:rPr>
          <w:rFonts w:cs="Times New Roman" w:hint="cs"/>
          <w:noProof/>
        </w:rPr>
        <w:t>ü</w:t>
      </w:r>
      <w:r>
        <w:rPr>
          <w:rFonts w:cs="Times New Roman"/>
          <w:noProof/>
        </w:rPr>
        <w:t>ger C, Walker C, Stockinger H, &amp; Sch</w:t>
      </w:r>
      <w:r>
        <w:rPr>
          <w:rFonts w:cs="Times New Roman" w:hint="cs"/>
          <w:noProof/>
        </w:rPr>
        <w:t>üß</w:t>
      </w:r>
      <w:r>
        <w:rPr>
          <w:rFonts w:cs="Times New Roman"/>
          <w:noProof/>
        </w:rPr>
        <w:t xml:space="preserve">ler A (2012) Phylogenetic reference data for systematics and phylotaxonomy of arbuscular mycorrhizal fungi from phylum to species level. </w:t>
      </w:r>
      <w:r w:rsidRPr="008F1309">
        <w:rPr>
          <w:rFonts w:cs="Times New Roman"/>
          <w:i/>
          <w:noProof/>
        </w:rPr>
        <w:t>New Phytologist</w:t>
      </w:r>
      <w:r>
        <w:rPr>
          <w:rFonts w:cs="Times New Roman"/>
          <w:noProof/>
        </w:rPr>
        <w:t xml:space="preserve"> 193(4):970-984.</w:t>
      </w:r>
      <w:bookmarkEnd w:id="20"/>
    </w:p>
    <w:p w14:paraId="72D95EC9" w14:textId="77777777" w:rsidR="00874649" w:rsidRDefault="00874649" w:rsidP="00874649">
      <w:pPr>
        <w:ind w:left="720" w:hanging="720"/>
        <w:rPr>
          <w:rFonts w:cs="Times New Roman"/>
          <w:noProof/>
        </w:rPr>
      </w:pPr>
      <w:bookmarkStart w:id="21" w:name="_ENREF_19"/>
      <w:r>
        <w:rPr>
          <w:rFonts w:cs="Times New Roman"/>
          <w:noProof/>
        </w:rPr>
        <w:t>19.</w:t>
      </w:r>
      <w:r>
        <w:rPr>
          <w:rFonts w:cs="Times New Roman"/>
          <w:noProof/>
        </w:rPr>
        <w:tab/>
        <w:t xml:space="preserve">Bever JD, Morton JB, Antonovics J, &amp; Schultz PA (1996) Host-dependent sporulation and species diversity of arbuscular mycorrhizal fungi in a mown grassland. </w:t>
      </w:r>
      <w:r w:rsidRPr="008F1309">
        <w:rPr>
          <w:rFonts w:cs="Times New Roman"/>
          <w:i/>
          <w:noProof/>
        </w:rPr>
        <w:t>Journal of Ecology</w:t>
      </w:r>
      <w:r>
        <w:rPr>
          <w:rFonts w:cs="Times New Roman"/>
          <w:noProof/>
        </w:rPr>
        <w:t xml:space="preserve"> 84(1):71-82.</w:t>
      </w:r>
      <w:bookmarkEnd w:id="21"/>
    </w:p>
    <w:p w14:paraId="181638C9" w14:textId="77777777" w:rsidR="00874649" w:rsidRDefault="00874649" w:rsidP="00874649">
      <w:pPr>
        <w:ind w:left="720" w:hanging="720"/>
        <w:rPr>
          <w:rFonts w:cs="Times New Roman"/>
          <w:noProof/>
        </w:rPr>
      </w:pPr>
      <w:bookmarkStart w:id="22" w:name="_ENREF_20"/>
      <w:r>
        <w:rPr>
          <w:rFonts w:cs="Times New Roman"/>
          <w:noProof/>
        </w:rPr>
        <w:t>20.</w:t>
      </w:r>
      <w:r>
        <w:rPr>
          <w:rFonts w:cs="Times New Roman"/>
          <w:noProof/>
        </w:rPr>
        <w:tab/>
        <w:t xml:space="preserve">Johnson NC, Zak DR, Tilman D, &amp; Pfleger FL (1991) Dynamics of vesicular-arbuscular mycorrhizae during old field succession. </w:t>
      </w:r>
      <w:r w:rsidRPr="008F1309">
        <w:rPr>
          <w:rFonts w:cs="Times New Roman"/>
          <w:i/>
          <w:noProof/>
        </w:rPr>
        <w:t>Oecologia</w:t>
      </w:r>
      <w:r>
        <w:rPr>
          <w:rFonts w:cs="Times New Roman"/>
          <w:noProof/>
        </w:rPr>
        <w:t xml:space="preserve"> 86(3):349-358.</w:t>
      </w:r>
      <w:bookmarkEnd w:id="22"/>
    </w:p>
    <w:p w14:paraId="278D42EC" w14:textId="77777777" w:rsidR="00874649" w:rsidRDefault="00874649" w:rsidP="00874649">
      <w:pPr>
        <w:ind w:left="720" w:hanging="720"/>
        <w:rPr>
          <w:rFonts w:cs="Times New Roman"/>
          <w:noProof/>
        </w:rPr>
      </w:pPr>
      <w:bookmarkStart w:id="23" w:name="_ENREF_21"/>
      <w:r>
        <w:rPr>
          <w:rFonts w:cs="Times New Roman"/>
          <w:noProof/>
        </w:rPr>
        <w:t>21.</w:t>
      </w:r>
      <w:r>
        <w:rPr>
          <w:rFonts w:cs="Times New Roman"/>
          <w:noProof/>
        </w:rPr>
        <w:tab/>
      </w:r>
      <w:r>
        <w:rPr>
          <w:rFonts w:cs="Times New Roman" w:hint="cs"/>
          <w:noProof/>
        </w:rPr>
        <w:t>Ö</w:t>
      </w:r>
      <w:r>
        <w:rPr>
          <w:rFonts w:cs="Times New Roman"/>
          <w:noProof/>
        </w:rPr>
        <w:t xml:space="preserve">pik M, Davison J, Moora M, &amp; Zobel M (2013) DNA-based detection and identification of Glomeromycota: the virtual taxonomy of environmental sequences. </w:t>
      </w:r>
      <w:r w:rsidRPr="008F1309">
        <w:rPr>
          <w:rFonts w:cs="Times New Roman"/>
          <w:i/>
          <w:noProof/>
        </w:rPr>
        <w:t>Botany</w:t>
      </w:r>
      <w:r>
        <w:rPr>
          <w:rFonts w:cs="Times New Roman"/>
          <w:noProof/>
        </w:rPr>
        <w:t xml:space="preserve"> 92(2):135-147.</w:t>
      </w:r>
      <w:bookmarkEnd w:id="23"/>
    </w:p>
    <w:p w14:paraId="714D31A5" w14:textId="77777777" w:rsidR="00874649" w:rsidRDefault="00874649" w:rsidP="00874649">
      <w:pPr>
        <w:ind w:left="720" w:hanging="720"/>
        <w:rPr>
          <w:rFonts w:cs="Times New Roman"/>
          <w:noProof/>
        </w:rPr>
      </w:pPr>
      <w:bookmarkStart w:id="24" w:name="_ENREF_22"/>
      <w:r>
        <w:rPr>
          <w:rFonts w:cs="Times New Roman"/>
          <w:noProof/>
        </w:rPr>
        <w:t>22.</w:t>
      </w:r>
      <w:r>
        <w:rPr>
          <w:rFonts w:cs="Times New Roman"/>
          <w:noProof/>
        </w:rPr>
        <w:tab/>
        <w:t xml:space="preserve">Horn S, Caruso T, Verbruggen E, Rillig MC, &amp; Hempel S (2014) Arbuscular mycorrhizal fungal communities are phylogenetically clustered at small scales. </w:t>
      </w:r>
      <w:r w:rsidRPr="008F1309">
        <w:rPr>
          <w:rFonts w:cs="Times New Roman"/>
          <w:i/>
          <w:noProof/>
        </w:rPr>
        <w:t>ISME J</w:t>
      </w:r>
      <w:r>
        <w:rPr>
          <w:rFonts w:cs="Times New Roman"/>
          <w:noProof/>
        </w:rPr>
        <w:t xml:space="preserve"> 8(11):2231-2242.</w:t>
      </w:r>
      <w:bookmarkEnd w:id="24"/>
    </w:p>
    <w:p w14:paraId="397685F2" w14:textId="77777777" w:rsidR="00874649" w:rsidRDefault="00874649" w:rsidP="00874649">
      <w:pPr>
        <w:ind w:left="720" w:hanging="720"/>
        <w:rPr>
          <w:rFonts w:cs="Times New Roman"/>
          <w:noProof/>
        </w:rPr>
      </w:pPr>
      <w:bookmarkStart w:id="25" w:name="_ENREF_23"/>
      <w:r>
        <w:rPr>
          <w:rFonts w:cs="Times New Roman"/>
          <w:noProof/>
        </w:rPr>
        <w:t>23.</w:t>
      </w:r>
      <w:r>
        <w:rPr>
          <w:rFonts w:cs="Times New Roman"/>
          <w:noProof/>
        </w:rPr>
        <w:tab/>
        <w:t>Cheeke TE</w:t>
      </w:r>
      <w:r w:rsidRPr="008F1309">
        <w:rPr>
          <w:rFonts w:cs="Times New Roman"/>
          <w:i/>
          <w:noProof/>
        </w:rPr>
        <w:t>, et al.</w:t>
      </w:r>
      <w:r>
        <w:rPr>
          <w:rFonts w:cs="Times New Roman"/>
          <w:noProof/>
        </w:rPr>
        <w:t xml:space="preserve"> (2015) Spatial soil heterogeneity has a greater effect on symbiotic arbuscular mycorrhizal fungal communities and plant growth than genetic modification with </w:t>
      </w:r>
      <w:r w:rsidRPr="008F1309">
        <w:rPr>
          <w:rFonts w:cs="Times New Roman"/>
          <w:i/>
          <w:noProof/>
        </w:rPr>
        <w:t>Bacillus thuringiensis</w:t>
      </w:r>
      <w:r>
        <w:rPr>
          <w:rFonts w:cs="Times New Roman"/>
          <w:noProof/>
        </w:rPr>
        <w:t xml:space="preserve"> toxin genes. </w:t>
      </w:r>
      <w:r w:rsidRPr="008F1309">
        <w:rPr>
          <w:rFonts w:cs="Times New Roman"/>
          <w:i/>
          <w:noProof/>
        </w:rPr>
        <w:t>Molecular Ecology</w:t>
      </w:r>
      <w:r>
        <w:rPr>
          <w:rFonts w:cs="Times New Roman"/>
          <w:noProof/>
        </w:rPr>
        <w:t xml:space="preserve"> 24(10):2580-2593.</w:t>
      </w:r>
      <w:bookmarkEnd w:id="25"/>
    </w:p>
    <w:p w14:paraId="12FD6A43" w14:textId="77777777" w:rsidR="00874649" w:rsidRDefault="00874649" w:rsidP="00874649">
      <w:pPr>
        <w:ind w:left="720" w:hanging="720"/>
        <w:rPr>
          <w:rFonts w:cs="Times New Roman"/>
          <w:noProof/>
        </w:rPr>
      </w:pPr>
      <w:bookmarkStart w:id="26" w:name="_ENREF_24"/>
      <w:r>
        <w:rPr>
          <w:rFonts w:cs="Times New Roman"/>
          <w:noProof/>
        </w:rPr>
        <w:t>24.</w:t>
      </w:r>
      <w:r>
        <w:rPr>
          <w:rFonts w:cs="Times New Roman"/>
          <w:noProof/>
        </w:rPr>
        <w:tab/>
        <w:t xml:space="preserve">Huse SM, Welch DM, Morrison HG, &amp; Sogin ML (2010) Ironing out the wrinkles in the rare biosphere through improved OTU clustering. </w:t>
      </w:r>
      <w:r w:rsidRPr="008F1309">
        <w:rPr>
          <w:rFonts w:cs="Times New Roman"/>
          <w:i/>
          <w:noProof/>
        </w:rPr>
        <w:t>Environmental Microbiology</w:t>
      </w:r>
      <w:r>
        <w:rPr>
          <w:rFonts w:cs="Times New Roman"/>
          <w:noProof/>
        </w:rPr>
        <w:t xml:space="preserve"> 12(7):1889-1898.</w:t>
      </w:r>
      <w:bookmarkEnd w:id="26"/>
    </w:p>
    <w:p w14:paraId="1EE23B8C" w14:textId="77777777" w:rsidR="00874649" w:rsidRDefault="00874649" w:rsidP="00874649">
      <w:pPr>
        <w:ind w:left="720" w:hanging="720"/>
        <w:rPr>
          <w:rFonts w:cs="Times New Roman"/>
          <w:noProof/>
        </w:rPr>
      </w:pPr>
      <w:bookmarkStart w:id="27" w:name="_ENREF_25"/>
      <w:r>
        <w:rPr>
          <w:rFonts w:cs="Times New Roman"/>
          <w:noProof/>
        </w:rPr>
        <w:t>25.</w:t>
      </w:r>
      <w:r>
        <w:rPr>
          <w:rFonts w:cs="Times New Roman"/>
          <w:noProof/>
        </w:rPr>
        <w:tab/>
        <w:t>Bokulich NA</w:t>
      </w:r>
      <w:r w:rsidRPr="008F1309">
        <w:rPr>
          <w:rFonts w:cs="Times New Roman"/>
          <w:i/>
          <w:noProof/>
        </w:rPr>
        <w:t>, et al.</w:t>
      </w:r>
      <w:r>
        <w:rPr>
          <w:rFonts w:cs="Times New Roman"/>
          <w:noProof/>
        </w:rPr>
        <w:t xml:space="preserve"> (2013) Quality-filtering vastly improves diversity estimates from Illumina amplicon sequencing. </w:t>
      </w:r>
      <w:r w:rsidRPr="008F1309">
        <w:rPr>
          <w:rFonts w:cs="Times New Roman"/>
          <w:i/>
          <w:noProof/>
        </w:rPr>
        <w:t>Nat Meth</w:t>
      </w:r>
      <w:r>
        <w:rPr>
          <w:rFonts w:cs="Times New Roman"/>
          <w:noProof/>
        </w:rPr>
        <w:t xml:space="preserve"> 10(1):57-59.</w:t>
      </w:r>
      <w:bookmarkEnd w:id="27"/>
    </w:p>
    <w:p w14:paraId="68132DF8" w14:textId="77777777" w:rsidR="00874649" w:rsidRDefault="00874649" w:rsidP="00874649">
      <w:pPr>
        <w:ind w:left="720" w:hanging="720"/>
        <w:rPr>
          <w:rFonts w:cs="Times New Roman"/>
          <w:noProof/>
        </w:rPr>
      </w:pPr>
      <w:bookmarkStart w:id="28" w:name="_ENREF_26"/>
      <w:r>
        <w:rPr>
          <w:rFonts w:cs="Times New Roman"/>
          <w:noProof/>
        </w:rPr>
        <w:t>26.</w:t>
      </w:r>
      <w:r>
        <w:rPr>
          <w:rFonts w:cs="Times New Roman"/>
          <w:noProof/>
        </w:rPr>
        <w:tab/>
        <w:t xml:space="preserve">Powell JR, Monaghan MT, </w:t>
      </w:r>
      <w:r>
        <w:rPr>
          <w:rFonts w:cs="Times New Roman" w:hint="cs"/>
          <w:noProof/>
        </w:rPr>
        <w:t>Ö</w:t>
      </w:r>
      <w:r>
        <w:rPr>
          <w:rFonts w:cs="Times New Roman"/>
          <w:noProof/>
        </w:rPr>
        <w:t xml:space="preserve">Pik M, &amp; Rillig MC (2011) Evolutionary criteria outperform operational approaches in producing ecologically relevant fungal species inventories. </w:t>
      </w:r>
      <w:r w:rsidRPr="008F1309">
        <w:rPr>
          <w:rFonts w:cs="Times New Roman"/>
          <w:i/>
          <w:noProof/>
        </w:rPr>
        <w:t>Molecular Ecology</w:t>
      </w:r>
      <w:r>
        <w:rPr>
          <w:rFonts w:cs="Times New Roman"/>
          <w:noProof/>
        </w:rPr>
        <w:t xml:space="preserve"> 20(3):655-666.</w:t>
      </w:r>
      <w:bookmarkEnd w:id="28"/>
    </w:p>
    <w:p w14:paraId="42D76134" w14:textId="77777777" w:rsidR="00874649" w:rsidRDefault="00874649" w:rsidP="00874649">
      <w:pPr>
        <w:ind w:left="720" w:hanging="720"/>
        <w:rPr>
          <w:rFonts w:cs="Times New Roman"/>
          <w:noProof/>
        </w:rPr>
      </w:pPr>
      <w:bookmarkStart w:id="29" w:name="_ENREF_27"/>
      <w:r>
        <w:rPr>
          <w:rFonts w:cs="Times New Roman"/>
          <w:noProof/>
        </w:rPr>
        <w:t>27.</w:t>
      </w:r>
      <w:r>
        <w:rPr>
          <w:rFonts w:cs="Times New Roman"/>
          <w:noProof/>
        </w:rPr>
        <w:tab/>
      </w:r>
      <w:r>
        <w:rPr>
          <w:rFonts w:cs="Times New Roman" w:hint="cs"/>
          <w:noProof/>
        </w:rPr>
        <w:t>Ö</w:t>
      </w:r>
      <w:r>
        <w:rPr>
          <w:rFonts w:cs="Times New Roman"/>
          <w:noProof/>
        </w:rPr>
        <w:t>pik M</w:t>
      </w:r>
      <w:r w:rsidRPr="008F1309">
        <w:rPr>
          <w:rFonts w:cs="Times New Roman"/>
          <w:i/>
          <w:noProof/>
        </w:rPr>
        <w:t>, et al.</w:t>
      </w:r>
      <w:r>
        <w:rPr>
          <w:rFonts w:cs="Times New Roman"/>
          <w:noProof/>
        </w:rPr>
        <w:t xml:space="preserve"> (2010) The online database MaarjAM reveals global and ecosystemic distribution patterns in arbuscular mycorrhizal fungi (Glomeromycota). </w:t>
      </w:r>
      <w:r w:rsidRPr="008F1309">
        <w:rPr>
          <w:rFonts w:cs="Times New Roman"/>
          <w:i/>
          <w:noProof/>
        </w:rPr>
        <w:t>New Phytologist</w:t>
      </w:r>
      <w:r>
        <w:rPr>
          <w:rFonts w:cs="Times New Roman"/>
          <w:noProof/>
        </w:rPr>
        <w:t xml:space="preserve"> 188(1):223-241.</w:t>
      </w:r>
      <w:bookmarkEnd w:id="29"/>
    </w:p>
    <w:p w14:paraId="5BB8E720" w14:textId="77777777" w:rsidR="00874649" w:rsidRDefault="00874649" w:rsidP="00874649">
      <w:pPr>
        <w:ind w:left="720" w:hanging="720"/>
        <w:rPr>
          <w:rFonts w:cs="Times New Roman"/>
          <w:noProof/>
        </w:rPr>
      </w:pPr>
      <w:bookmarkStart w:id="30" w:name="_ENREF_28"/>
      <w:r>
        <w:rPr>
          <w:rFonts w:cs="Times New Roman"/>
          <w:noProof/>
        </w:rPr>
        <w:t>28.</w:t>
      </w:r>
      <w:r>
        <w:rPr>
          <w:rFonts w:cs="Times New Roman"/>
          <w:noProof/>
        </w:rPr>
        <w:tab/>
        <w:t xml:space="preserve">den Bakker HC, VanKuren NW, Morton JB, &amp; Pawlowska TE (2010) Clonality and recombination in the life history of an asexual arbuscular mycorrhizal fungus. </w:t>
      </w:r>
      <w:r w:rsidRPr="008F1309">
        <w:rPr>
          <w:rFonts w:cs="Times New Roman"/>
          <w:i/>
          <w:noProof/>
        </w:rPr>
        <w:t>Molecular Biology and Evolution</w:t>
      </w:r>
      <w:r>
        <w:rPr>
          <w:rFonts w:cs="Times New Roman"/>
          <w:noProof/>
        </w:rPr>
        <w:t xml:space="preserve"> 27(11):2474-2486.</w:t>
      </w:r>
      <w:bookmarkEnd w:id="30"/>
    </w:p>
    <w:p w14:paraId="5F878B4B" w14:textId="77777777" w:rsidR="00874649" w:rsidRDefault="00874649" w:rsidP="00874649">
      <w:pPr>
        <w:ind w:left="720" w:hanging="720"/>
        <w:rPr>
          <w:rFonts w:cs="Times New Roman"/>
          <w:noProof/>
        </w:rPr>
      </w:pPr>
      <w:bookmarkStart w:id="31" w:name="_ENREF_29"/>
      <w:r>
        <w:rPr>
          <w:rFonts w:cs="Times New Roman"/>
          <w:noProof/>
        </w:rPr>
        <w:t>29.</w:t>
      </w:r>
      <w:r>
        <w:rPr>
          <w:rFonts w:cs="Times New Roman"/>
          <w:noProof/>
        </w:rPr>
        <w:tab/>
        <w:t xml:space="preserve">VanKuren NW, den Bakker HC, Morton JB, &amp; Pawlowska TE (2013) Ribosomal RNA gene diversity, effective population size, and evolutionary longevity in asexual Glomeromycota. </w:t>
      </w:r>
      <w:r w:rsidRPr="008F1309">
        <w:rPr>
          <w:rFonts w:cs="Times New Roman"/>
          <w:i/>
          <w:noProof/>
        </w:rPr>
        <w:t>Evolution</w:t>
      </w:r>
      <w:r>
        <w:rPr>
          <w:rFonts w:cs="Times New Roman"/>
          <w:noProof/>
        </w:rPr>
        <w:t xml:space="preserve"> 67(1):207-224.</w:t>
      </w:r>
      <w:bookmarkEnd w:id="31"/>
    </w:p>
    <w:p w14:paraId="6DF79FD3" w14:textId="77777777" w:rsidR="00874649" w:rsidRDefault="00874649" w:rsidP="00874649">
      <w:pPr>
        <w:ind w:left="720" w:hanging="720"/>
        <w:rPr>
          <w:rFonts w:cs="Times New Roman"/>
          <w:noProof/>
        </w:rPr>
      </w:pPr>
      <w:bookmarkStart w:id="32" w:name="_ENREF_30"/>
      <w:r>
        <w:rPr>
          <w:rFonts w:cs="Times New Roman"/>
          <w:noProof/>
        </w:rPr>
        <w:t>30.</w:t>
      </w:r>
      <w:r>
        <w:rPr>
          <w:rFonts w:cs="Times New Roman"/>
          <w:noProof/>
        </w:rPr>
        <w:tab/>
        <w:t>Ruan Y</w:t>
      </w:r>
      <w:r w:rsidRPr="008F1309">
        <w:rPr>
          <w:rFonts w:cs="Times New Roman"/>
          <w:i/>
          <w:noProof/>
        </w:rPr>
        <w:t>, et al.</w:t>
      </w:r>
      <w:r>
        <w:rPr>
          <w:rFonts w:cs="Times New Roman"/>
          <w:noProof/>
        </w:rPr>
        <w:t xml:space="preserve"> (2012) DACIDR: deterministic annealed clustering with interpolative dimension reduction using a large collection of 16S rRNA sequences. in </w:t>
      </w:r>
      <w:r w:rsidRPr="008F1309">
        <w:rPr>
          <w:rFonts w:cs="Times New Roman"/>
          <w:i/>
          <w:noProof/>
        </w:rPr>
        <w:t>Proceedings of the ACM Conference on Bioinformatics, Computational Biology and Biomedicine</w:t>
      </w:r>
      <w:r>
        <w:rPr>
          <w:rFonts w:cs="Times New Roman"/>
          <w:noProof/>
        </w:rPr>
        <w:t>, pp 329-336.</w:t>
      </w:r>
      <w:bookmarkEnd w:id="32"/>
    </w:p>
    <w:p w14:paraId="4FBB4ADA" w14:textId="77777777" w:rsidR="00874649" w:rsidRDefault="00874649" w:rsidP="00874649">
      <w:pPr>
        <w:ind w:left="720" w:hanging="720"/>
        <w:rPr>
          <w:rFonts w:cs="Times New Roman"/>
          <w:noProof/>
        </w:rPr>
      </w:pPr>
      <w:bookmarkStart w:id="33" w:name="_ENREF_31"/>
      <w:r>
        <w:rPr>
          <w:rFonts w:cs="Times New Roman"/>
          <w:noProof/>
        </w:rPr>
        <w:t>31.</w:t>
      </w:r>
      <w:r>
        <w:rPr>
          <w:rFonts w:cs="Times New Roman"/>
          <w:noProof/>
        </w:rPr>
        <w:tab/>
        <w:t>Ruan Y</w:t>
      </w:r>
      <w:r w:rsidRPr="008F1309">
        <w:rPr>
          <w:rFonts w:cs="Times New Roman"/>
          <w:i/>
          <w:noProof/>
        </w:rPr>
        <w:t>, et al.</w:t>
      </w:r>
      <w:r>
        <w:rPr>
          <w:rFonts w:cs="Times New Roman"/>
          <w:noProof/>
        </w:rPr>
        <w:t xml:space="preserve"> (2014) Integration of Clustering and Multidimensional Scaling to Determine Phylogenetic Trees as Spherical Phylograms Visualized in 3 Dimensions. in </w:t>
      </w:r>
      <w:r w:rsidRPr="008F1309">
        <w:rPr>
          <w:rFonts w:cs="Times New Roman"/>
          <w:i/>
          <w:noProof/>
        </w:rPr>
        <w:t>IEEE/ACM International Symposium on Cluster, Cloud and Grid Computing (CCGrid)</w:t>
      </w:r>
      <w:r>
        <w:rPr>
          <w:rFonts w:cs="Times New Roman"/>
          <w:noProof/>
        </w:rPr>
        <w:t>, pp 720-729.</w:t>
      </w:r>
      <w:bookmarkEnd w:id="33"/>
    </w:p>
    <w:p w14:paraId="5F3367EF" w14:textId="77777777" w:rsidR="00874649" w:rsidRDefault="00874649" w:rsidP="00874649">
      <w:pPr>
        <w:ind w:left="720" w:hanging="720"/>
        <w:rPr>
          <w:rFonts w:cs="Times New Roman"/>
          <w:noProof/>
        </w:rPr>
      </w:pPr>
      <w:bookmarkStart w:id="34" w:name="_ENREF_32"/>
      <w:r>
        <w:rPr>
          <w:rFonts w:cs="Times New Roman"/>
          <w:noProof/>
        </w:rPr>
        <w:t>32.</w:t>
      </w:r>
      <w:r>
        <w:rPr>
          <w:rFonts w:cs="Times New Roman"/>
          <w:noProof/>
        </w:rPr>
        <w:tab/>
        <w:t xml:space="preserve">Ye Y (2010) Identification and quantification of abundant species from pyrosequences of 16S rRNA by consensus alignment. in </w:t>
      </w:r>
      <w:r w:rsidRPr="00CB69E6">
        <w:rPr>
          <w:rFonts w:cs="Times New Roman"/>
          <w:i/>
          <w:noProof/>
        </w:rPr>
        <w:t>IEEE International Conference on Bioinformatics and Biomedicine (BIBM)</w:t>
      </w:r>
      <w:r>
        <w:rPr>
          <w:rFonts w:cs="Times New Roman"/>
          <w:noProof/>
        </w:rPr>
        <w:t>, pp 153-157.</w:t>
      </w:r>
      <w:bookmarkEnd w:id="34"/>
    </w:p>
    <w:p w14:paraId="52271464" w14:textId="77777777" w:rsidR="00874649" w:rsidRDefault="00874649" w:rsidP="00874649">
      <w:pPr>
        <w:ind w:left="720" w:hanging="720"/>
        <w:rPr>
          <w:rFonts w:cs="Times New Roman"/>
          <w:noProof/>
        </w:rPr>
      </w:pPr>
      <w:bookmarkStart w:id="35" w:name="_ENREF_33"/>
      <w:r>
        <w:rPr>
          <w:rFonts w:cs="Times New Roman"/>
          <w:noProof/>
        </w:rPr>
        <w:t>33.</w:t>
      </w:r>
      <w:r>
        <w:rPr>
          <w:rFonts w:cs="Times New Roman"/>
          <w:noProof/>
        </w:rPr>
        <w:tab/>
        <w:t xml:space="preserve">Edgar RC (2013) UPARSE: highly accurate OTU sequences from microbial amplicon reads. </w:t>
      </w:r>
      <w:r w:rsidRPr="008F1309">
        <w:rPr>
          <w:rFonts w:cs="Times New Roman"/>
          <w:i/>
          <w:noProof/>
        </w:rPr>
        <w:t>Nat Meth</w:t>
      </w:r>
      <w:r>
        <w:rPr>
          <w:rFonts w:cs="Times New Roman"/>
          <w:noProof/>
        </w:rPr>
        <w:t xml:space="preserve"> 10(10):996-998.</w:t>
      </w:r>
      <w:bookmarkEnd w:id="35"/>
    </w:p>
    <w:p w14:paraId="40460EA1" w14:textId="77777777" w:rsidR="00874649" w:rsidRDefault="00874649" w:rsidP="00874649">
      <w:pPr>
        <w:ind w:left="720" w:hanging="720"/>
        <w:rPr>
          <w:rFonts w:cs="Times New Roman"/>
          <w:noProof/>
        </w:rPr>
      </w:pPr>
      <w:bookmarkStart w:id="36" w:name="_ENREF_35"/>
      <w:r>
        <w:rPr>
          <w:rFonts w:cs="Times New Roman"/>
          <w:noProof/>
        </w:rPr>
        <w:t>34.</w:t>
      </w:r>
      <w:r>
        <w:rPr>
          <w:rFonts w:cs="Times New Roman"/>
          <w:noProof/>
        </w:rPr>
        <w:tab/>
        <w:t>Schloss PD</w:t>
      </w:r>
      <w:r w:rsidRPr="00BD52B0">
        <w:rPr>
          <w:rFonts w:cs="Times New Roman"/>
          <w:i/>
          <w:noProof/>
        </w:rPr>
        <w:t>, et al.</w:t>
      </w:r>
      <w:r>
        <w:rPr>
          <w:rFonts w:cs="Times New Roman"/>
          <w:noProof/>
        </w:rPr>
        <w:t xml:space="preserve"> (2009) Introducing mothur: Open-source, platform-independent, community-supported software for describing and comparing microbial communities. </w:t>
      </w:r>
      <w:r w:rsidRPr="00BD52B0">
        <w:rPr>
          <w:rFonts w:cs="Times New Roman"/>
          <w:i/>
          <w:noProof/>
        </w:rPr>
        <w:t>Applied and Environmental Microbiology</w:t>
      </w:r>
      <w:r>
        <w:rPr>
          <w:rFonts w:cs="Times New Roman"/>
          <w:noProof/>
        </w:rPr>
        <w:t xml:space="preserve"> 75(23):7537-7541.</w:t>
      </w:r>
    </w:p>
    <w:p w14:paraId="5AAC0935" w14:textId="77777777" w:rsidR="00874649" w:rsidRDefault="00874649" w:rsidP="00874649">
      <w:pPr>
        <w:ind w:left="720" w:hanging="720"/>
        <w:rPr>
          <w:rFonts w:cs="Times New Roman"/>
          <w:noProof/>
        </w:rPr>
      </w:pPr>
      <w:r>
        <w:rPr>
          <w:rFonts w:cs="Times New Roman"/>
          <w:noProof/>
        </w:rPr>
        <w:t>35.</w:t>
      </w:r>
      <w:r>
        <w:rPr>
          <w:rFonts w:cs="Times New Roman"/>
          <w:noProof/>
        </w:rPr>
        <w:tab/>
        <w:t xml:space="preserve">Hao X, Jiang R, &amp; Chen T (2011) Clustering 16S rRNA for OTU prediction: a method of unsupervised Bayesian clustering. </w:t>
      </w:r>
      <w:r w:rsidRPr="008F1309">
        <w:rPr>
          <w:rFonts w:cs="Times New Roman"/>
          <w:i/>
          <w:noProof/>
        </w:rPr>
        <w:t>Bioinformatics</w:t>
      </w:r>
      <w:r>
        <w:rPr>
          <w:rFonts w:cs="Times New Roman"/>
          <w:noProof/>
        </w:rPr>
        <w:t xml:space="preserve"> 27(5):611-618.</w:t>
      </w:r>
      <w:bookmarkEnd w:id="36"/>
    </w:p>
    <w:p w14:paraId="14EA247A" w14:textId="77777777" w:rsidR="00874649" w:rsidRDefault="00874649" w:rsidP="00874649">
      <w:pPr>
        <w:ind w:left="720" w:hanging="720"/>
        <w:rPr>
          <w:rFonts w:cs="Times New Roman"/>
          <w:noProof/>
        </w:rPr>
      </w:pPr>
      <w:bookmarkStart w:id="37" w:name="_ENREF_36"/>
      <w:r>
        <w:rPr>
          <w:rFonts w:cs="Times New Roman"/>
          <w:noProof/>
        </w:rPr>
        <w:t>36.</w:t>
      </w:r>
      <w:r>
        <w:rPr>
          <w:rFonts w:cs="Times New Roman"/>
          <w:noProof/>
        </w:rPr>
        <w:tab/>
        <w:t xml:space="preserve">Edgar RC, Haas BJ, Clemente JC, Quince C, &amp; Knight R (2011) UCHIME improves sensitivity and speed of chimera detection. </w:t>
      </w:r>
      <w:r w:rsidRPr="008F1309">
        <w:rPr>
          <w:rFonts w:cs="Times New Roman"/>
          <w:i/>
          <w:noProof/>
        </w:rPr>
        <w:t>Bioinformatics</w:t>
      </w:r>
      <w:r>
        <w:rPr>
          <w:rFonts w:cs="Times New Roman"/>
          <w:noProof/>
        </w:rPr>
        <w:t xml:space="preserve"> 27(16):2194-2200.</w:t>
      </w:r>
      <w:bookmarkEnd w:id="37"/>
    </w:p>
    <w:p w14:paraId="75861736" w14:textId="77777777" w:rsidR="00874649" w:rsidRDefault="00874649" w:rsidP="00874649">
      <w:pPr>
        <w:ind w:left="720" w:hanging="720"/>
        <w:rPr>
          <w:rFonts w:cs="Times New Roman"/>
          <w:noProof/>
        </w:rPr>
      </w:pPr>
      <w:bookmarkStart w:id="38" w:name="_ENREF_37"/>
      <w:r>
        <w:rPr>
          <w:rFonts w:cs="Times New Roman"/>
          <w:noProof/>
        </w:rPr>
        <w:t>37.</w:t>
      </w:r>
      <w:r>
        <w:rPr>
          <w:rFonts w:cs="Times New Roman"/>
          <w:noProof/>
        </w:rPr>
        <w:tab/>
        <w:t xml:space="preserve">Stamatakis A (2014) RAxML version 8: A tool for phylogenetic analysis and post-analysis of large phylogenies. </w:t>
      </w:r>
      <w:r w:rsidRPr="008F1309">
        <w:rPr>
          <w:rFonts w:cs="Times New Roman"/>
          <w:i/>
          <w:noProof/>
        </w:rPr>
        <w:t>Bioinformatics</w:t>
      </w:r>
      <w:r>
        <w:rPr>
          <w:rFonts w:cs="Times New Roman"/>
          <w:noProof/>
        </w:rPr>
        <w:t>.</w:t>
      </w:r>
      <w:bookmarkEnd w:id="38"/>
    </w:p>
    <w:p w14:paraId="343569FB" w14:textId="77777777" w:rsidR="00874649" w:rsidRDefault="00874649" w:rsidP="00874649">
      <w:pPr>
        <w:ind w:left="720" w:hanging="720"/>
        <w:rPr>
          <w:rFonts w:cs="Times New Roman"/>
          <w:noProof/>
        </w:rPr>
      </w:pPr>
      <w:bookmarkStart w:id="39" w:name="_ENREF_38"/>
      <w:r>
        <w:rPr>
          <w:rFonts w:cs="Times New Roman"/>
          <w:noProof/>
        </w:rPr>
        <w:t>38.</w:t>
      </w:r>
      <w:r>
        <w:rPr>
          <w:rFonts w:cs="Times New Roman"/>
          <w:noProof/>
        </w:rPr>
        <w:tab/>
        <w:t xml:space="preserve">Ritland K (2000) Marker-inferred relatedness as a tool for detecting heritability in nature. </w:t>
      </w:r>
      <w:r w:rsidRPr="008F1309">
        <w:rPr>
          <w:rFonts w:cs="Times New Roman"/>
          <w:i/>
          <w:noProof/>
        </w:rPr>
        <w:t>Molecular Ecology</w:t>
      </w:r>
      <w:r>
        <w:rPr>
          <w:rFonts w:cs="Times New Roman"/>
          <w:noProof/>
        </w:rPr>
        <w:t xml:space="preserve"> 9(9):1195-1204.</w:t>
      </w:r>
      <w:bookmarkEnd w:id="39"/>
    </w:p>
    <w:p w14:paraId="002F834D" w14:textId="77777777" w:rsidR="00874649" w:rsidRDefault="00874649" w:rsidP="00874649">
      <w:pPr>
        <w:ind w:left="720" w:hanging="720"/>
        <w:rPr>
          <w:rFonts w:cs="Times New Roman"/>
          <w:noProof/>
        </w:rPr>
      </w:pPr>
      <w:bookmarkStart w:id="40" w:name="_ENREF_39"/>
      <w:r>
        <w:rPr>
          <w:rFonts w:cs="Times New Roman"/>
          <w:noProof/>
        </w:rPr>
        <w:t>39.</w:t>
      </w:r>
      <w:r>
        <w:rPr>
          <w:rFonts w:cs="Times New Roman"/>
          <w:noProof/>
        </w:rPr>
        <w:tab/>
        <w:t xml:space="preserve">Lekberg Y, Gibbons SM, &amp; Rosendahl S (2014) Will different OTU delineation methods change interpretation of arbuscular mycorrhizal fungal community patterns? </w:t>
      </w:r>
      <w:r w:rsidRPr="008F1309">
        <w:rPr>
          <w:rFonts w:cs="Times New Roman"/>
          <w:i/>
          <w:noProof/>
        </w:rPr>
        <w:t>New Phytologist</w:t>
      </w:r>
      <w:r>
        <w:rPr>
          <w:rFonts w:cs="Times New Roman"/>
          <w:noProof/>
        </w:rPr>
        <w:t xml:space="preserve"> 202(4):1101-1104.</w:t>
      </w:r>
      <w:bookmarkEnd w:id="40"/>
    </w:p>
    <w:p w14:paraId="39CCCE88" w14:textId="77777777" w:rsidR="00874649" w:rsidRDefault="00874649" w:rsidP="00874649">
      <w:pPr>
        <w:ind w:left="720" w:hanging="720"/>
        <w:rPr>
          <w:rFonts w:cs="Times New Roman"/>
          <w:noProof/>
        </w:rPr>
      </w:pPr>
      <w:bookmarkStart w:id="41" w:name="_ENREF_40"/>
      <w:r>
        <w:rPr>
          <w:rFonts w:cs="Times New Roman"/>
          <w:noProof/>
        </w:rPr>
        <w:t>40.</w:t>
      </w:r>
      <w:r>
        <w:rPr>
          <w:rFonts w:cs="Times New Roman"/>
          <w:noProof/>
        </w:rPr>
        <w:tab/>
        <w:t>Lindahl BD</w:t>
      </w:r>
      <w:r w:rsidRPr="008F1309">
        <w:rPr>
          <w:rFonts w:cs="Times New Roman"/>
          <w:i/>
          <w:noProof/>
        </w:rPr>
        <w:t>, et al.</w:t>
      </w:r>
      <w:r>
        <w:rPr>
          <w:rFonts w:cs="Times New Roman"/>
          <w:noProof/>
        </w:rPr>
        <w:t xml:space="preserve"> (2013) Fungal community analysis by high-throughput sequencing of amplified markers </w:t>
      </w:r>
      <w:r>
        <w:rPr>
          <w:rFonts w:cs="Times New Roman" w:hint="cs"/>
          <w:noProof/>
        </w:rPr>
        <w:t>–</w:t>
      </w:r>
      <w:r>
        <w:rPr>
          <w:rFonts w:cs="Times New Roman"/>
          <w:noProof/>
        </w:rPr>
        <w:t xml:space="preserve"> a user's guide. </w:t>
      </w:r>
      <w:r w:rsidRPr="008F1309">
        <w:rPr>
          <w:rFonts w:cs="Times New Roman"/>
          <w:i/>
          <w:noProof/>
        </w:rPr>
        <w:t>New Phytologist</w:t>
      </w:r>
      <w:r>
        <w:rPr>
          <w:rFonts w:cs="Times New Roman"/>
          <w:noProof/>
        </w:rPr>
        <w:t xml:space="preserve"> 199(1):288-299.</w:t>
      </w:r>
      <w:bookmarkEnd w:id="41"/>
    </w:p>
    <w:p w14:paraId="011BFBAC" w14:textId="77777777" w:rsidR="00874649" w:rsidRDefault="00874649" w:rsidP="00874649">
      <w:pPr>
        <w:ind w:left="720" w:hanging="720"/>
        <w:rPr>
          <w:rFonts w:cs="Times New Roman"/>
          <w:noProof/>
        </w:rPr>
      </w:pPr>
      <w:bookmarkStart w:id="42" w:name="_ENREF_41"/>
      <w:r>
        <w:rPr>
          <w:rFonts w:cs="Times New Roman"/>
          <w:noProof/>
        </w:rPr>
        <w:t>41.</w:t>
      </w:r>
      <w:r>
        <w:rPr>
          <w:rFonts w:cs="Times New Roman"/>
          <w:noProof/>
        </w:rPr>
        <w:tab/>
        <w:t>Hart MM</w:t>
      </w:r>
      <w:r w:rsidRPr="008F1309">
        <w:rPr>
          <w:rFonts w:cs="Times New Roman"/>
          <w:i/>
          <w:noProof/>
        </w:rPr>
        <w:t>, et al.</w:t>
      </w:r>
      <w:r>
        <w:rPr>
          <w:rFonts w:cs="Times New Roman"/>
          <w:noProof/>
        </w:rPr>
        <w:t xml:space="preserve"> (2015) Navigating the labyrinth: a guide to sequence-based, community ecology of arbuscular mycorrhizal fungi. </w:t>
      </w:r>
      <w:r w:rsidRPr="008F1309">
        <w:rPr>
          <w:rFonts w:cs="Times New Roman"/>
          <w:i/>
          <w:noProof/>
        </w:rPr>
        <w:t>New Phytologist</w:t>
      </w:r>
      <w:r>
        <w:rPr>
          <w:rFonts w:cs="Times New Roman"/>
          <w:noProof/>
        </w:rPr>
        <w:t xml:space="preserve"> 207(1):235-247.</w:t>
      </w:r>
      <w:bookmarkEnd w:id="42"/>
    </w:p>
    <w:p w14:paraId="2992A331" w14:textId="77777777" w:rsidR="00874649" w:rsidRDefault="00874649" w:rsidP="00874649">
      <w:pPr>
        <w:ind w:left="720" w:hanging="720"/>
        <w:rPr>
          <w:rFonts w:cs="Times New Roman"/>
          <w:noProof/>
        </w:rPr>
      </w:pPr>
      <w:bookmarkStart w:id="43" w:name="_ENREF_42"/>
      <w:r>
        <w:rPr>
          <w:rFonts w:cs="Times New Roman"/>
          <w:noProof/>
        </w:rPr>
        <w:t>42.</w:t>
      </w:r>
      <w:r>
        <w:rPr>
          <w:rFonts w:cs="Times New Roman"/>
          <w:noProof/>
        </w:rPr>
        <w:tab/>
        <w:t xml:space="preserve">Zhang J, Kapli P, Pavlidis P, &amp; Stamatakis A (2013) A general species delimitation method with applications to phylogenetic placements. </w:t>
      </w:r>
      <w:r w:rsidRPr="008F1309">
        <w:rPr>
          <w:rFonts w:cs="Times New Roman"/>
          <w:i/>
          <w:noProof/>
        </w:rPr>
        <w:t>Bioinformatics</w:t>
      </w:r>
      <w:r>
        <w:rPr>
          <w:rFonts w:cs="Times New Roman"/>
          <w:noProof/>
        </w:rPr>
        <w:t xml:space="preserve"> 29(22):2869-2876.</w:t>
      </w:r>
      <w:bookmarkEnd w:id="43"/>
    </w:p>
    <w:p w14:paraId="798B60FF" w14:textId="77777777" w:rsidR="00874649" w:rsidRDefault="00874649" w:rsidP="00874649">
      <w:pPr>
        <w:ind w:left="720" w:hanging="720"/>
        <w:rPr>
          <w:rFonts w:cs="Times New Roman"/>
          <w:noProof/>
        </w:rPr>
      </w:pPr>
      <w:bookmarkStart w:id="44" w:name="_ENREF_43"/>
      <w:r>
        <w:rPr>
          <w:rFonts w:cs="Times New Roman"/>
          <w:noProof/>
        </w:rPr>
        <w:t>43.</w:t>
      </w:r>
      <w:r>
        <w:rPr>
          <w:rFonts w:cs="Times New Roman"/>
          <w:noProof/>
        </w:rPr>
        <w:tab/>
        <w:t>Davison J</w:t>
      </w:r>
      <w:r w:rsidRPr="008F1309">
        <w:rPr>
          <w:rFonts w:cs="Times New Roman"/>
          <w:i/>
          <w:noProof/>
        </w:rPr>
        <w:t>, et al.</w:t>
      </w:r>
      <w:r>
        <w:rPr>
          <w:rFonts w:cs="Times New Roman"/>
          <w:noProof/>
        </w:rPr>
        <w:t xml:space="preserve"> (2015) Global assessment of arbuscular mycorrhizal fungus diversity reveals very low endemism. </w:t>
      </w:r>
      <w:r w:rsidRPr="008F1309">
        <w:rPr>
          <w:rFonts w:cs="Times New Roman"/>
          <w:i/>
          <w:noProof/>
        </w:rPr>
        <w:t>Science</w:t>
      </w:r>
      <w:r>
        <w:rPr>
          <w:rFonts w:cs="Times New Roman"/>
          <w:noProof/>
        </w:rPr>
        <w:t xml:space="preserve"> 349(6251):970-973.</w:t>
      </w:r>
      <w:bookmarkEnd w:id="44"/>
    </w:p>
    <w:p w14:paraId="731505F1" w14:textId="77777777" w:rsidR="00874649" w:rsidRDefault="00874649" w:rsidP="00874649">
      <w:pPr>
        <w:rPr>
          <w:rFonts w:cs="Times New Roman"/>
          <w:noProof/>
        </w:rPr>
      </w:pPr>
    </w:p>
    <w:sectPr w:rsidR="00874649" w:rsidSect="005949B9">
      <w:pgSz w:w="12240" w:h="15840"/>
      <w:pgMar w:top="1440" w:right="1440" w:bottom="1440" w:left="1440" w:header="720" w:footer="720" w:gutter="0"/>
      <w:cols w:space="720"/>
      <w:printerSettings r:id="rId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NewRomanPSMT">
    <w:altName w:val="Times New Roman"/>
    <w:charset w:val="00"/>
    <w:family w:val="roman"/>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E6603" w14:textId="77777777" w:rsidR="00E90009" w:rsidRDefault="00E90009" w:rsidP="008746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63DB">
      <w:rPr>
        <w:rStyle w:val="PageNumber"/>
        <w:noProof/>
      </w:rPr>
      <w:t>20</w:t>
    </w:r>
    <w:r>
      <w:rPr>
        <w:rStyle w:val="PageNumber"/>
      </w:rPr>
      <w:fldChar w:fldCharType="end"/>
    </w:r>
  </w:p>
  <w:p w14:paraId="14BC771B" w14:textId="77777777" w:rsidR="00E90009" w:rsidRDefault="00E90009" w:rsidP="0087464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72EA2" w14:textId="77777777" w:rsidR="00E90009" w:rsidRDefault="00E90009" w:rsidP="008746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63DB">
      <w:rPr>
        <w:rStyle w:val="PageNumber"/>
        <w:noProof/>
      </w:rPr>
      <w:t>18</w:t>
    </w:r>
    <w:r>
      <w:rPr>
        <w:rStyle w:val="PageNumber"/>
      </w:rPr>
      <w:fldChar w:fldCharType="end"/>
    </w:r>
  </w:p>
  <w:p w14:paraId="5724BE7D" w14:textId="77777777" w:rsidR="00E90009" w:rsidRDefault="00E90009" w:rsidP="00874649">
    <w:pPr>
      <w:pStyle w:val="Footer"/>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649"/>
    <w:rsid w:val="00374458"/>
    <w:rsid w:val="005949B9"/>
    <w:rsid w:val="0080128D"/>
    <w:rsid w:val="00874649"/>
    <w:rsid w:val="009074D0"/>
    <w:rsid w:val="00B663DB"/>
    <w:rsid w:val="00CE2ECC"/>
    <w:rsid w:val="00D857EA"/>
    <w:rsid w:val="00E90009"/>
    <w:rsid w:val="00F34D5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179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649"/>
    <w:rPr>
      <w:rFonts w:ascii="TimesNewRomanPSMT" w:eastAsia="TimesNewRomanPSMT" w:hAnsi="TimesNewRomanPSMT" w:cs="TimesNewRomanPSMT"/>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649"/>
    <w:pPr>
      <w:ind w:left="720"/>
      <w:contextualSpacing/>
    </w:pPr>
  </w:style>
  <w:style w:type="paragraph" w:styleId="Footer">
    <w:name w:val="footer"/>
    <w:basedOn w:val="Normal"/>
    <w:link w:val="FooterChar"/>
    <w:uiPriority w:val="99"/>
    <w:unhideWhenUsed/>
    <w:rsid w:val="00874649"/>
    <w:pPr>
      <w:tabs>
        <w:tab w:val="center" w:pos="4320"/>
        <w:tab w:val="right" w:pos="8640"/>
      </w:tabs>
    </w:pPr>
  </w:style>
  <w:style w:type="character" w:customStyle="1" w:styleId="FooterChar">
    <w:name w:val="Footer Char"/>
    <w:basedOn w:val="DefaultParagraphFont"/>
    <w:link w:val="Footer"/>
    <w:uiPriority w:val="99"/>
    <w:rsid w:val="00874649"/>
    <w:rPr>
      <w:rFonts w:ascii="TimesNewRomanPSMT" w:eastAsia="TimesNewRomanPSMT" w:hAnsi="TimesNewRomanPSMT" w:cs="TimesNewRomanPSMT"/>
      <w:sz w:val="24"/>
      <w:szCs w:val="24"/>
      <w:lang w:eastAsia="en-US"/>
    </w:rPr>
  </w:style>
  <w:style w:type="character" w:styleId="PageNumber">
    <w:name w:val="page number"/>
    <w:basedOn w:val="DefaultParagraphFont"/>
    <w:uiPriority w:val="99"/>
    <w:semiHidden/>
    <w:unhideWhenUsed/>
    <w:rsid w:val="00874649"/>
  </w:style>
  <w:style w:type="paragraph" w:styleId="BalloonText">
    <w:name w:val="Balloon Text"/>
    <w:basedOn w:val="Normal"/>
    <w:link w:val="BalloonTextChar"/>
    <w:uiPriority w:val="99"/>
    <w:semiHidden/>
    <w:unhideWhenUsed/>
    <w:rsid w:val="008746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649"/>
    <w:rPr>
      <w:rFonts w:ascii="Lucida Grande" w:eastAsia="TimesNewRomanPSMT"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649"/>
    <w:rPr>
      <w:rFonts w:ascii="TimesNewRomanPSMT" w:eastAsia="TimesNewRomanPSMT" w:hAnsi="TimesNewRomanPSMT" w:cs="TimesNewRomanPSMT"/>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4649"/>
    <w:pPr>
      <w:ind w:left="720"/>
      <w:contextualSpacing/>
    </w:pPr>
  </w:style>
  <w:style w:type="paragraph" w:styleId="Footer">
    <w:name w:val="footer"/>
    <w:basedOn w:val="Normal"/>
    <w:link w:val="FooterChar"/>
    <w:uiPriority w:val="99"/>
    <w:unhideWhenUsed/>
    <w:rsid w:val="00874649"/>
    <w:pPr>
      <w:tabs>
        <w:tab w:val="center" w:pos="4320"/>
        <w:tab w:val="right" w:pos="8640"/>
      </w:tabs>
    </w:pPr>
  </w:style>
  <w:style w:type="character" w:customStyle="1" w:styleId="FooterChar">
    <w:name w:val="Footer Char"/>
    <w:basedOn w:val="DefaultParagraphFont"/>
    <w:link w:val="Footer"/>
    <w:uiPriority w:val="99"/>
    <w:rsid w:val="00874649"/>
    <w:rPr>
      <w:rFonts w:ascii="TimesNewRomanPSMT" w:eastAsia="TimesNewRomanPSMT" w:hAnsi="TimesNewRomanPSMT" w:cs="TimesNewRomanPSMT"/>
      <w:sz w:val="24"/>
      <w:szCs w:val="24"/>
      <w:lang w:eastAsia="en-US"/>
    </w:rPr>
  </w:style>
  <w:style w:type="character" w:styleId="PageNumber">
    <w:name w:val="page number"/>
    <w:basedOn w:val="DefaultParagraphFont"/>
    <w:uiPriority w:val="99"/>
    <w:semiHidden/>
    <w:unhideWhenUsed/>
    <w:rsid w:val="00874649"/>
  </w:style>
  <w:style w:type="paragraph" w:styleId="BalloonText">
    <w:name w:val="Balloon Text"/>
    <w:basedOn w:val="Normal"/>
    <w:link w:val="BalloonTextChar"/>
    <w:uiPriority w:val="99"/>
    <w:semiHidden/>
    <w:unhideWhenUsed/>
    <w:rsid w:val="008746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4649"/>
    <w:rPr>
      <w:rFonts w:ascii="Lucida Grande" w:eastAsia="TimesNewRomanPSMT"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printerSettings" Target="printerSettings/printerSettings1.bin"/><Relationship Id="rId12" Type="http://schemas.openxmlformats.org/officeDocument/2006/relationships/printerSettings" Target="printerSettings/printerSettings2.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24</Pages>
  <Words>5847</Words>
  <Characters>34056</Characters>
  <Application>Microsoft Macintosh Word</Application>
  <DocSecurity>0</DocSecurity>
  <Lines>526</Lines>
  <Paragraphs>103</Paragraphs>
  <ScaleCrop>false</ScaleCrop>
  <Company/>
  <LinksUpToDate>false</LinksUpToDate>
  <CharactersWithSpaces>39824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House</dc:creator>
  <cp:keywords/>
  <dc:description/>
  <cp:lastModifiedBy>Geoffrey House</cp:lastModifiedBy>
  <cp:revision>2</cp:revision>
  <dcterms:created xsi:type="dcterms:W3CDTF">2015-10-08T15:22:00Z</dcterms:created>
  <dcterms:modified xsi:type="dcterms:W3CDTF">2015-10-18T20:58:00Z</dcterms:modified>
</cp:coreProperties>
</file>